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231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65B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231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65BC7">
                        <w:rPr>
                          <w:sz w:val="28"/>
                          <w:szCs w:val="28"/>
                          <w:u w:val="single"/>
                        </w:rPr>
                        <w:t xml:space="preserve">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31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231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57D45" w:rsidRDefault="00F57D45" w:rsidP="00F57D4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</w:t>
      </w:r>
    </w:p>
    <w:p w:rsidR="00F57D45" w:rsidRDefault="00F57D45" w:rsidP="0086282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самоуправление «Ива спортивная» Мотовилихинского района города Перми</w:t>
      </w:r>
    </w:p>
    <w:p w:rsidR="00F57D45" w:rsidRDefault="00F57D45" w:rsidP="00F57D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 </w:t>
      </w:r>
    </w:p>
    <w:p w:rsidR="00F57D45" w:rsidRDefault="00F57D45" w:rsidP="00F57D45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pacing w:val="40"/>
          <w:sz w:val="28"/>
          <w:szCs w:val="28"/>
        </w:rPr>
        <w:t>решила</w:t>
      </w:r>
      <w:r>
        <w:rPr>
          <w:bCs/>
          <w:sz w:val="28"/>
          <w:szCs w:val="28"/>
        </w:rPr>
        <w:t>:</w:t>
      </w:r>
    </w:p>
    <w:p w:rsidR="00F57D45" w:rsidRDefault="00F57D45" w:rsidP="00A56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«Ива спортивная» Мотовилихинского района города Перми (МОО ТОС «Ива спортивная») в границах следующих территорий проживания граждан: ул. Сакко и Ванцетти (дома № 99, 101, 103, 105, 107, 109, 111, 117), ул. Агатовая (дома № 28, 32, 36).</w:t>
      </w:r>
    </w:p>
    <w:p w:rsidR="00F57D45" w:rsidRDefault="00F57D45" w:rsidP="00A56F7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F57D45" w:rsidRDefault="00F57D45" w:rsidP="00A56F7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D45" w:rsidRDefault="00F57D45" w:rsidP="00A56F7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A7823" w:rsidRDefault="00BA7823" w:rsidP="00BA7823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A7823" w:rsidRDefault="00BA7823" w:rsidP="00BA782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BA7823" w:rsidRDefault="00BA7823" w:rsidP="00BA7823">
      <w:pPr>
        <w:pStyle w:val="ac"/>
        <w:spacing w:before="7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F57D45" w:rsidRPr="00BA7823" w:rsidRDefault="00065BC7" w:rsidP="00F57D45">
      <w:pPr>
        <w:jc w:val="both"/>
        <w:rPr>
          <w:sz w:val="28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CA19" wp14:editId="4D6CE8B7">
                <wp:simplePos x="0" y="0"/>
                <wp:positionH relativeFrom="column">
                  <wp:posOffset>5715</wp:posOffset>
                </wp:positionH>
                <wp:positionV relativeFrom="paragraph">
                  <wp:posOffset>67310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CA19" id="Text Box 1025" o:spid="_x0000_s1029" type="#_x0000_t202" style="position:absolute;left:0;text-align:left;margin-left:.45pt;margin-top:5.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oHf9Lt0AAAAI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BA7823" w:rsidRDefault="00CC53C4" w:rsidP="00B231C2">
      <w:pPr>
        <w:rPr>
          <w:rFonts w:eastAsia="Arial Unicode MS"/>
          <w:sz w:val="28"/>
          <w:szCs w:val="28"/>
          <w:lang w:val="en-US"/>
        </w:rPr>
      </w:pPr>
    </w:p>
    <w:sectPr w:rsidR="00CC53C4" w:rsidRPr="00BA782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D7BFE">
      <w:rPr>
        <w:noProof/>
        <w:snapToGrid w:val="0"/>
        <w:sz w:val="16"/>
      </w:rPr>
      <w:t>28.02.2019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D7BFE">
      <w:rPr>
        <w:noProof/>
        <w:snapToGrid w:val="0"/>
        <w:sz w:val="16"/>
      </w:rPr>
      <w:t>решение 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F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Lr6FtDq3m4Y59UZAaomvcXOlwtNM07bZCCa9Adtn8+J5ySTnnCGwDHfkEQJMgR3pwENJwIunEmwonarOpVrQ==" w:salt="LJSgW+89whz8ighFPjmU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BC7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7BFE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825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6F7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1C2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7823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7D45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BAB74A24-5F51-4B20-B586-A87009D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2019-02-28T11:49:00Z</cp:lastPrinted>
  <dcterms:created xsi:type="dcterms:W3CDTF">2019-02-19T10:02:00Z</dcterms:created>
  <dcterms:modified xsi:type="dcterms:W3CDTF">2019-02-28T11:50:00Z</dcterms:modified>
</cp:coreProperties>
</file>