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F41164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4116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99.25pt;margin-top:85.05pt;width:25.65pt;height:19.35pt;z-index:251658752" strokecolor="white">
            <v:textbox style="mso-next-textbox:#_x0000_s2052"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="00A26578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1164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6704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A26578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940" cy="50546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940" cy="505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A26578" w:rsidRPr="00874B32" w:rsidRDefault="00A26578" w:rsidP="00900859">
      <w:pPr>
        <w:pStyle w:val="ConsPlusTitle"/>
        <w:ind w:right="5385"/>
        <w:rPr>
          <w:rFonts w:ascii="Times New Roman" w:hAnsi="Times New Roman" w:cs="Times New Roman"/>
          <w:sz w:val="28"/>
          <w:szCs w:val="28"/>
        </w:rPr>
      </w:pPr>
      <w:r w:rsidRPr="00874B32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A26578" w:rsidRPr="00874B32" w:rsidRDefault="00A26578" w:rsidP="00900859">
      <w:pPr>
        <w:pStyle w:val="ConsPlusTitle"/>
        <w:ind w:right="5385"/>
        <w:rPr>
          <w:rFonts w:ascii="Times New Roman" w:hAnsi="Times New Roman" w:cs="Times New Roman"/>
          <w:sz w:val="28"/>
          <w:szCs w:val="28"/>
        </w:rPr>
      </w:pPr>
      <w:r w:rsidRPr="00874B32">
        <w:rPr>
          <w:rFonts w:ascii="Times New Roman" w:hAnsi="Times New Roman" w:cs="Times New Roman"/>
          <w:sz w:val="28"/>
          <w:szCs w:val="28"/>
        </w:rPr>
        <w:t>финансирования за счет средств бюджета города Перми физкультурных и спортивных мероприятий, включенных в календарный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32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32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мероприятий города Перми</w:t>
      </w:r>
      <w:r>
        <w:rPr>
          <w:rFonts w:ascii="Times New Roman" w:hAnsi="Times New Roman" w:cs="Times New Roman"/>
          <w:sz w:val="28"/>
          <w:szCs w:val="28"/>
        </w:rPr>
        <w:t>, и норм расходов средств бюджета города Перми на их проведение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A26578" w:rsidRDefault="00A26578" w:rsidP="00082BBB">
      <w:pPr>
        <w:jc w:val="both"/>
        <w:rPr>
          <w:sz w:val="28"/>
          <w:szCs w:val="28"/>
        </w:rPr>
      </w:pPr>
    </w:p>
    <w:p w:rsidR="00A26578" w:rsidRPr="00A26578" w:rsidRDefault="00A26578" w:rsidP="00A265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26578">
        <w:rPr>
          <w:color w:val="000000" w:themeColor="text1"/>
          <w:sz w:val="28"/>
          <w:szCs w:val="28"/>
        </w:rPr>
        <w:t xml:space="preserve">В соответствии со статьей 9 Федерального закона от 4 декабря 2007 г. </w:t>
      </w:r>
      <w:r w:rsidRPr="00A26578">
        <w:rPr>
          <w:color w:val="000000" w:themeColor="text1"/>
          <w:sz w:val="28"/>
          <w:szCs w:val="28"/>
        </w:rPr>
        <w:br/>
        <w:t xml:space="preserve">№ 329-ФЗ «О физической культуре и спорте в Российской Федерации», </w:t>
      </w:r>
      <w:r w:rsidRPr="00A26578">
        <w:rPr>
          <w:bCs/>
          <w:color w:val="000000" w:themeColor="text1"/>
          <w:sz w:val="28"/>
          <w:szCs w:val="28"/>
        </w:rPr>
        <w:t xml:space="preserve">Положением о комитете по физической культуре и спорту администрации города Перми, утвержденным решением Пермской городской Думы от 12 сентября 2006 г. № 223, </w:t>
      </w:r>
      <w:r w:rsidRPr="00A26578">
        <w:rPr>
          <w:color w:val="000000" w:themeColor="text1"/>
          <w:sz w:val="28"/>
          <w:szCs w:val="28"/>
        </w:rPr>
        <w:t>в целях упорядочения финансирования за счет средств бюджета города Перми физкультурных мероприятий и спортивных мероприятий</w:t>
      </w:r>
      <w:proofErr w:type="gramEnd"/>
    </w:p>
    <w:p w:rsidR="00A26578" w:rsidRPr="00A26578" w:rsidRDefault="00A26578" w:rsidP="00A265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A26578" w:rsidRPr="00A26578" w:rsidRDefault="00A26578" w:rsidP="00A26578">
      <w:pPr>
        <w:pStyle w:val="ConsPlusNormal"/>
        <w:ind w:firstLine="540"/>
        <w:jc w:val="both"/>
        <w:rPr>
          <w:color w:val="000000" w:themeColor="text1"/>
        </w:rPr>
      </w:pPr>
      <w:r w:rsidRPr="00A26578">
        <w:rPr>
          <w:color w:val="000000" w:themeColor="text1"/>
        </w:rPr>
        <w:t>1. Утвердить прилагаемые:</w:t>
      </w:r>
    </w:p>
    <w:p w:rsidR="00A26578" w:rsidRPr="00A26578" w:rsidRDefault="00A26578" w:rsidP="00A26578">
      <w:pPr>
        <w:pStyle w:val="ConsPlusNormal"/>
        <w:ind w:firstLine="540"/>
        <w:jc w:val="both"/>
        <w:rPr>
          <w:color w:val="000000" w:themeColor="text1"/>
        </w:rPr>
      </w:pPr>
      <w:r w:rsidRPr="00A26578">
        <w:rPr>
          <w:color w:val="000000" w:themeColor="text1"/>
        </w:rPr>
        <w:t xml:space="preserve">1.1. </w:t>
      </w:r>
      <w:hyperlink w:anchor="P37" w:history="1">
        <w:r w:rsidRPr="00A26578">
          <w:rPr>
            <w:color w:val="000000" w:themeColor="text1"/>
          </w:rPr>
          <w:t>Порядок</w:t>
        </w:r>
      </w:hyperlink>
      <w:r w:rsidRPr="00A26578">
        <w:rPr>
          <w:color w:val="000000" w:themeColor="text1"/>
        </w:rPr>
        <w:t xml:space="preserve"> финансирования за счет средств бюджета города Перми физкультурных и спортивных мероприятий, включенных в Календарный план официальных физкультурных мероприятий и спортивных мероприятий города Перми.</w:t>
      </w:r>
    </w:p>
    <w:p w:rsidR="00A26578" w:rsidRPr="001D39F5" w:rsidRDefault="00A26578" w:rsidP="00A26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39F5">
        <w:rPr>
          <w:sz w:val="28"/>
          <w:szCs w:val="28"/>
        </w:rPr>
        <w:t xml:space="preserve">1.2. </w:t>
      </w:r>
      <w:hyperlink r:id="rId9" w:history="1">
        <w:r w:rsidRPr="00A26578">
          <w:rPr>
            <w:color w:val="000000" w:themeColor="text1"/>
            <w:sz w:val="28"/>
            <w:szCs w:val="28"/>
          </w:rPr>
          <w:t>Нормы</w:t>
        </w:r>
      </w:hyperlink>
      <w:r w:rsidRPr="00A26578">
        <w:rPr>
          <w:color w:val="000000" w:themeColor="text1"/>
          <w:sz w:val="28"/>
          <w:szCs w:val="28"/>
        </w:rPr>
        <w:t xml:space="preserve"> расходов средств бюджета города Перми на проведение физкультурных и спорти</w:t>
      </w:r>
      <w:r w:rsidRPr="001D39F5">
        <w:rPr>
          <w:sz w:val="28"/>
          <w:szCs w:val="28"/>
        </w:rPr>
        <w:t>вных мероприятий, включенных в календарный план официальных физкультурных мероприятий и спортивных мероприятий города Перми;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2. Внести изменения в постановление администрации г. Перми от 08.07.2010 № 413 «Об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мероприятиях» (далее – Постановление):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2.1.  Из наименования Постановления исключить слова «физической культуры и спорта»;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lastRenderedPageBreak/>
        <w:t>2.2. В пункте 1.1. Постановления исключить слова «физической культуры</w:t>
      </w:r>
      <w:r w:rsidR="00147561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и спорта»;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2.3. Признать утратившим силу пункт 1.5. Постановления.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3. Внести изменения в Порядок финансирования мероприятий в сфере образования, утвержденный постановлением </w:t>
      </w:r>
      <w:r w:rsidR="00147561">
        <w:rPr>
          <w:color w:val="000000" w:themeColor="text1"/>
          <w:sz w:val="28"/>
          <w:szCs w:val="28"/>
        </w:rPr>
        <w:t>администрации г. Перми</w:t>
      </w:r>
      <w:r w:rsidR="00147561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от 08.07.2010 № 413 (далее – Порядок):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3.1. В пункте 1.1. Порядка исклю</w:t>
      </w:r>
      <w:r w:rsidR="00147561">
        <w:rPr>
          <w:color w:val="000000" w:themeColor="text1"/>
          <w:sz w:val="28"/>
          <w:szCs w:val="28"/>
        </w:rPr>
        <w:t>чить слова «физической культуры</w:t>
      </w:r>
      <w:r w:rsidR="00147561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и спорта»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A26578">
        <w:rPr>
          <w:color w:val="000000" w:themeColor="text1"/>
          <w:sz w:val="28"/>
          <w:szCs w:val="28"/>
        </w:rPr>
        <w:t>3.2. Пункт 1.3. Порядка изложить в редакции «Оплата поставляемых товаров, выполняемых работ, оказываемых услуг при проведении мероприятий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3.3. В пункте 1.2.7. Порядка исклю</w:t>
      </w:r>
      <w:r w:rsidR="00147561">
        <w:rPr>
          <w:color w:val="000000" w:themeColor="text1"/>
          <w:sz w:val="28"/>
          <w:szCs w:val="28"/>
        </w:rPr>
        <w:t>чить слова «физической культуры</w:t>
      </w:r>
      <w:r w:rsidR="00147561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и спорта»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3.4. В пункте 1.4. Порядка исклю</w:t>
      </w:r>
      <w:r w:rsidR="00147561">
        <w:rPr>
          <w:color w:val="000000" w:themeColor="text1"/>
          <w:sz w:val="28"/>
          <w:szCs w:val="28"/>
        </w:rPr>
        <w:t>чить слова «физической культуры</w:t>
      </w:r>
      <w:r w:rsidR="00147561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и спорта»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3.5. В пункте 2.2.9. Порядка исклю</w:t>
      </w:r>
      <w:r w:rsidR="00147561">
        <w:rPr>
          <w:color w:val="000000" w:themeColor="text1"/>
          <w:sz w:val="28"/>
          <w:szCs w:val="28"/>
        </w:rPr>
        <w:t>чить слова «физической культуры</w:t>
      </w:r>
      <w:r w:rsidR="00147561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и спорта»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3.6. В пункте 2.3. Порядка исклю</w:t>
      </w:r>
      <w:r w:rsidR="00147561">
        <w:rPr>
          <w:color w:val="000000" w:themeColor="text1"/>
          <w:sz w:val="28"/>
          <w:szCs w:val="28"/>
        </w:rPr>
        <w:t>чить слова «физической культуры</w:t>
      </w:r>
      <w:r w:rsidR="00147561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и спорта»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3.7. В пункте 2.3.4</w:t>
      </w:r>
      <w:r w:rsidRPr="00A26578">
        <w:rPr>
          <w:color w:val="000000" w:themeColor="text1"/>
          <w:sz w:val="32"/>
          <w:szCs w:val="28"/>
          <w:vertAlign w:val="superscript"/>
        </w:rPr>
        <w:t>1</w:t>
      </w:r>
      <w:r w:rsidRPr="00A26578">
        <w:rPr>
          <w:color w:val="000000" w:themeColor="text1"/>
          <w:sz w:val="28"/>
          <w:szCs w:val="28"/>
        </w:rPr>
        <w:t>. Порядка исклю</w:t>
      </w:r>
      <w:r w:rsidR="00147561">
        <w:rPr>
          <w:color w:val="000000" w:themeColor="text1"/>
          <w:sz w:val="28"/>
          <w:szCs w:val="28"/>
        </w:rPr>
        <w:t>чить слова «физической культуры</w:t>
      </w:r>
      <w:r w:rsidR="00147561">
        <w:rPr>
          <w:color w:val="000000" w:themeColor="text1"/>
          <w:sz w:val="28"/>
          <w:szCs w:val="28"/>
        </w:rPr>
        <w:br/>
      </w:r>
      <w:r w:rsidRPr="00A26578">
        <w:rPr>
          <w:color w:val="000000" w:themeColor="text1"/>
          <w:sz w:val="28"/>
          <w:szCs w:val="28"/>
        </w:rPr>
        <w:t>и спорта»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4. Внести изменения в </w:t>
      </w:r>
      <w:r w:rsidRPr="00A26578">
        <w:rPr>
          <w:color w:val="000000" w:themeColor="text1"/>
          <w:sz w:val="28"/>
          <w:szCs w:val="24"/>
        </w:rPr>
        <w:t xml:space="preserve">Порядок осуществления расходов на участие учащихся муниципальных образовательных учреждений в соревнованиях, конкурсах, олимпиадах и других мероприятиях, </w:t>
      </w:r>
      <w:r w:rsidRPr="00A26578">
        <w:rPr>
          <w:color w:val="000000" w:themeColor="text1"/>
          <w:sz w:val="28"/>
          <w:szCs w:val="28"/>
        </w:rPr>
        <w:t>утвержденный постановлением администрации г. Перми от 08.07.2010 № 413 (далее – Порядок осуществления расходов):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4.1. В пункте 1.1. Порядка осуществления расходов исключить слова «комитета по физической культуре и спорту администрации города Перми»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4.2. В пункте 1.12. Порядка осуществления расходов исключить слова «физической культуры и спорта».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5. Настоящее постановление вступает в силу с момента официального опубликования.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6.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7. </w:t>
      </w:r>
      <w:proofErr w:type="gramStart"/>
      <w:r w:rsidRPr="00A26578">
        <w:rPr>
          <w:color w:val="000000" w:themeColor="text1"/>
          <w:sz w:val="28"/>
          <w:szCs w:val="28"/>
        </w:rPr>
        <w:t>Контроль за</w:t>
      </w:r>
      <w:proofErr w:type="gramEnd"/>
      <w:r w:rsidRPr="00A26578">
        <w:rPr>
          <w:color w:val="000000" w:themeColor="text1"/>
          <w:sz w:val="28"/>
          <w:szCs w:val="28"/>
        </w:rPr>
        <w:t xml:space="preserve"> исполнением постановления возложить на заместителя главы администрации города Перми Гаджиеву Л.А.</w:t>
      </w:r>
    </w:p>
    <w:p w:rsidR="00A26578" w:rsidRDefault="00A26578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578" w:rsidRDefault="00A26578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578" w:rsidRDefault="00A26578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578" w:rsidRDefault="00A26578" w:rsidP="00A26578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              Д.И. Самойлов</w:t>
      </w:r>
    </w:p>
    <w:p w:rsidR="00A26578" w:rsidRDefault="00A26578" w:rsidP="00A26578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578" w:rsidRPr="00835E2A" w:rsidRDefault="00A26578" w:rsidP="00A26578">
      <w:pPr>
        <w:pStyle w:val="ConsPlusNormal"/>
        <w:ind w:left="5670"/>
        <w:outlineLvl w:val="0"/>
      </w:pPr>
      <w:r w:rsidRPr="00835E2A">
        <w:lastRenderedPageBreak/>
        <w:t>УТВЕРЖДЕН</w:t>
      </w:r>
    </w:p>
    <w:p w:rsidR="00A26578" w:rsidRDefault="00A26578" w:rsidP="00A26578">
      <w:pPr>
        <w:pStyle w:val="ConsPlusNormal"/>
        <w:ind w:left="5670"/>
      </w:pPr>
      <w:r>
        <w:t xml:space="preserve">постановлением </w:t>
      </w:r>
    </w:p>
    <w:p w:rsidR="00A26578" w:rsidRPr="00835E2A" w:rsidRDefault="00A26578" w:rsidP="00A26578">
      <w:pPr>
        <w:pStyle w:val="ConsPlusNormal"/>
        <w:ind w:left="5670"/>
      </w:pPr>
      <w:r>
        <w:t>администрации города Перми</w:t>
      </w:r>
    </w:p>
    <w:p w:rsidR="00A26578" w:rsidRPr="00835E2A" w:rsidRDefault="00A26578" w:rsidP="00A26578">
      <w:pPr>
        <w:pStyle w:val="ConsPlusNormal"/>
        <w:jc w:val="both"/>
      </w:pPr>
    </w:p>
    <w:p w:rsidR="00A26578" w:rsidRPr="00835E2A" w:rsidRDefault="00A26578" w:rsidP="00A265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835E2A">
        <w:rPr>
          <w:rFonts w:ascii="Times New Roman" w:hAnsi="Times New Roman" w:cs="Times New Roman"/>
          <w:sz w:val="28"/>
          <w:szCs w:val="28"/>
        </w:rPr>
        <w:t>ОРЯДОК</w:t>
      </w:r>
    </w:p>
    <w:p w:rsidR="00A26578" w:rsidRPr="00835E2A" w:rsidRDefault="00A26578" w:rsidP="00A265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5E2A">
        <w:rPr>
          <w:rFonts w:ascii="Times New Roman" w:hAnsi="Times New Roman" w:cs="Times New Roman"/>
          <w:sz w:val="28"/>
          <w:szCs w:val="28"/>
        </w:rPr>
        <w:t xml:space="preserve">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города Перми физкультурных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835E2A">
        <w:rPr>
          <w:rFonts w:ascii="Times New Roman" w:hAnsi="Times New Roman" w:cs="Times New Roman"/>
          <w:sz w:val="28"/>
          <w:szCs w:val="28"/>
        </w:rPr>
        <w:t>и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E2A">
        <w:rPr>
          <w:rFonts w:ascii="Times New Roman" w:hAnsi="Times New Roman" w:cs="Times New Roman"/>
          <w:sz w:val="28"/>
          <w:szCs w:val="28"/>
        </w:rPr>
        <w:t>мероприятий, включенных в календарный план</w:t>
      </w:r>
      <w:r>
        <w:rPr>
          <w:rFonts w:ascii="Times New Roman" w:hAnsi="Times New Roman" w:cs="Times New Roman"/>
          <w:sz w:val="28"/>
          <w:szCs w:val="28"/>
        </w:rPr>
        <w:t xml:space="preserve"> официальных </w:t>
      </w:r>
      <w:r w:rsidRPr="00835E2A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A26578" w:rsidRPr="00835E2A" w:rsidRDefault="00A26578" w:rsidP="00A26578">
      <w:pPr>
        <w:spacing w:after="1"/>
        <w:rPr>
          <w:sz w:val="28"/>
          <w:szCs w:val="28"/>
        </w:rPr>
      </w:pPr>
    </w:p>
    <w:p w:rsidR="00A26578" w:rsidRDefault="00A26578" w:rsidP="00A26578">
      <w:pPr>
        <w:pStyle w:val="ConsPlusNormal"/>
        <w:jc w:val="center"/>
        <w:rPr>
          <w:b/>
        </w:rPr>
      </w:pPr>
      <w:r w:rsidRPr="00C40F02">
        <w:rPr>
          <w:b/>
          <w:lang w:val="en-US"/>
        </w:rPr>
        <w:t>I</w:t>
      </w:r>
      <w:r w:rsidRPr="00C40F02">
        <w:rPr>
          <w:b/>
        </w:rPr>
        <w:t>. Общие положения</w:t>
      </w:r>
    </w:p>
    <w:p w:rsidR="00A26578" w:rsidRPr="00835E2A" w:rsidRDefault="00A26578" w:rsidP="00A26578">
      <w:pPr>
        <w:pStyle w:val="ConsPlusNormal"/>
        <w:jc w:val="both"/>
      </w:pPr>
    </w:p>
    <w:p w:rsidR="00A26578" w:rsidRDefault="00A26578" w:rsidP="00A26578">
      <w:pPr>
        <w:pStyle w:val="ConsPlusNormal"/>
        <w:ind w:firstLine="709"/>
        <w:jc w:val="both"/>
      </w:pPr>
      <w:r w:rsidRPr="00835E2A">
        <w:t>1.</w:t>
      </w:r>
      <w:r>
        <w:t>1.</w:t>
      </w:r>
      <w:r w:rsidRPr="00835E2A">
        <w:t xml:space="preserve"> Порядок финансирования за счет средств бюджета </w:t>
      </w:r>
      <w:r>
        <w:t xml:space="preserve">города Перми </w:t>
      </w:r>
      <w:r w:rsidRPr="00835E2A">
        <w:t xml:space="preserve">физкультурных и спортивных мероприятий, включенных в календарный план </w:t>
      </w:r>
      <w:r>
        <w:t>официальных</w:t>
      </w:r>
      <w:r w:rsidRPr="00835E2A">
        <w:t xml:space="preserve"> физкультурных мероприятий и спортивных мероприятий</w:t>
      </w:r>
      <w:r>
        <w:t xml:space="preserve"> города Перми </w:t>
      </w:r>
      <w:r w:rsidRPr="00835E2A">
        <w:t xml:space="preserve">(далее - Порядок) определяет условия финансового обеспечения физкультурных и спортивных мероприятий, включенных в  календарный план </w:t>
      </w:r>
      <w:r>
        <w:t>официальных</w:t>
      </w:r>
      <w:r w:rsidRPr="00835E2A">
        <w:t xml:space="preserve"> физкультурных мероприятий и спортивных мероприятий</w:t>
      </w:r>
      <w:r>
        <w:t xml:space="preserve"> города Перми</w:t>
      </w:r>
      <w:r w:rsidRPr="00835E2A">
        <w:t xml:space="preserve"> (далее - физкультурные и спорти</w:t>
      </w:r>
      <w:r>
        <w:t>вные мероприятия, календарный план соответственно</w:t>
      </w:r>
      <w:r w:rsidRPr="00835E2A">
        <w:t>).</w:t>
      </w:r>
    </w:p>
    <w:p w:rsidR="00A26578" w:rsidRDefault="00A26578" w:rsidP="00A26578">
      <w:pPr>
        <w:pStyle w:val="ConsPlusNormal"/>
        <w:ind w:firstLine="709"/>
        <w:jc w:val="both"/>
      </w:pPr>
      <w:r>
        <w:t>1.2. П</w:t>
      </w:r>
      <w:r w:rsidRPr="00755C22">
        <w:t xml:space="preserve">онятия, используемые в </w:t>
      </w:r>
      <w:proofErr w:type="gramStart"/>
      <w:r w:rsidRPr="00755C22">
        <w:t>настоящем</w:t>
      </w:r>
      <w:proofErr w:type="gramEnd"/>
      <w:r w:rsidRPr="00755C22">
        <w:t xml:space="preserve"> Порядке, применяются в том же значении, что и в Федеральном </w:t>
      </w:r>
      <w:hyperlink r:id="rId10" w:history="1">
        <w:r w:rsidRPr="00755C22">
          <w:t>законе</w:t>
        </w:r>
      </w:hyperlink>
      <w:r>
        <w:t xml:space="preserve"> от 4 декабря 2007 г. № 329-ФЗ </w:t>
      </w:r>
      <w:r>
        <w:br/>
        <w:t>«</w:t>
      </w:r>
      <w:r w:rsidRPr="00755C22">
        <w:t xml:space="preserve">О физической культуре </w:t>
      </w:r>
      <w:r>
        <w:t>и спорте в Российской Федерации»</w:t>
      </w:r>
      <w:r w:rsidRPr="00755C22">
        <w:t>.</w:t>
      </w:r>
    </w:p>
    <w:p w:rsidR="00A26578" w:rsidRDefault="00A26578" w:rsidP="00A26578">
      <w:pPr>
        <w:pStyle w:val="ConsPlusNormal"/>
        <w:ind w:firstLine="709"/>
        <w:jc w:val="both"/>
      </w:pPr>
      <w:r>
        <w:t xml:space="preserve">1.3. </w:t>
      </w:r>
      <w:r w:rsidRPr="00755C22">
        <w:t xml:space="preserve">Проведение </w:t>
      </w:r>
      <w:r>
        <w:t xml:space="preserve">физкультурных и спортивных </w:t>
      </w:r>
      <w:r w:rsidRPr="00755C22">
        <w:t xml:space="preserve">мероприятий осуществляется в </w:t>
      </w:r>
      <w:proofErr w:type="gramStart"/>
      <w:r w:rsidRPr="00755C22">
        <w:t>соответствии</w:t>
      </w:r>
      <w:proofErr w:type="gramEnd"/>
      <w:r w:rsidRPr="00755C22">
        <w:t xml:space="preserve"> с календарным планом, ежегодно утверждаемым приказом председателя комитет</w:t>
      </w:r>
      <w:r>
        <w:t>а</w:t>
      </w:r>
      <w:r w:rsidRPr="00755C22">
        <w:t xml:space="preserve"> по физической культуре и спорту администрации города Перми (далее - Комитет).</w:t>
      </w:r>
    </w:p>
    <w:p w:rsidR="00A26578" w:rsidRDefault="00A26578" w:rsidP="00A26578">
      <w:pPr>
        <w:pStyle w:val="ConsPlusNormal"/>
        <w:ind w:firstLine="709"/>
        <w:jc w:val="both"/>
      </w:pPr>
      <w:r>
        <w:t xml:space="preserve">1.4. </w:t>
      </w:r>
      <w:r w:rsidRPr="003C6F96">
        <w:t>Финанс</w:t>
      </w:r>
      <w:r>
        <w:t>ирование</w:t>
      </w:r>
      <w:r w:rsidRPr="003C6F96">
        <w:t xml:space="preserve"> физкультурных и спортивных мероприятий за счет средств бюджета города Перми, осуществляется в пределах бюджетных ассигнований, утвержденных Комитету на эти цели в бюджете города Перми на очередной финансовый год и на плановый период.</w:t>
      </w:r>
    </w:p>
    <w:p w:rsidR="00A26578" w:rsidRPr="003C6F96" w:rsidRDefault="00A26578" w:rsidP="00A26578">
      <w:pPr>
        <w:pStyle w:val="ConsPlusNormal"/>
        <w:ind w:firstLine="709"/>
        <w:jc w:val="both"/>
      </w:pPr>
      <w:r w:rsidRPr="003C6F96">
        <w:t xml:space="preserve">1.5. Оплата расходов на проведение физкультурных и спортивных мероприятий производится </w:t>
      </w:r>
      <w:r>
        <w:t>Комитетом</w:t>
      </w:r>
      <w:r w:rsidRPr="003C6F96">
        <w:t xml:space="preserve"> за счет средств бюджета </w:t>
      </w:r>
      <w:r>
        <w:t>города Перми</w:t>
      </w:r>
      <w:r w:rsidRPr="003C6F96">
        <w:t xml:space="preserve"> в соответствии с Федеральным </w:t>
      </w:r>
      <w:hyperlink r:id="rId11" w:history="1">
        <w:r w:rsidRPr="003C6F96">
          <w:t>законом</w:t>
        </w:r>
      </w:hyperlink>
      <w:r w:rsidRPr="003C6F96">
        <w:t xml:space="preserve"> от 5 апреля 2013 г. </w:t>
      </w:r>
      <w:r>
        <w:t>№ 44-ФЗ «</w:t>
      </w:r>
      <w:r w:rsidRPr="003C6F96">
        <w:t>О контрактной системе в сфере закупок товаров, работ, услуг для обеспечения госуд</w:t>
      </w:r>
      <w:r>
        <w:t>арственных и муниципальных нужд»</w:t>
      </w:r>
      <w:r w:rsidRPr="003C6F96">
        <w:t>.</w:t>
      </w:r>
    </w:p>
    <w:p w:rsidR="00A26578" w:rsidRDefault="00A26578" w:rsidP="00A26578">
      <w:pPr>
        <w:pStyle w:val="ConsPlusNormal"/>
        <w:ind w:firstLine="709"/>
        <w:jc w:val="both"/>
      </w:pPr>
      <w:r w:rsidRPr="003C6F96">
        <w:t xml:space="preserve">В случае проведения физкультурных и спортивных мероприятий </w:t>
      </w:r>
      <w:r>
        <w:t>муниципальными</w:t>
      </w:r>
      <w:r w:rsidRPr="003C6F96">
        <w:t xml:space="preserve"> учреждениями оплата расходов на проведение мероприятий за счет средств бюджета </w:t>
      </w:r>
      <w:r>
        <w:t>города Перми</w:t>
      </w:r>
      <w:r w:rsidRPr="003C6F96">
        <w:t xml:space="preserve"> производится в соответствии с действующим законодательством в сфере закупок товаров, работ и услуг для обеспечения государственных и муниципальных нужд.</w:t>
      </w:r>
    </w:p>
    <w:p w:rsidR="00A26578" w:rsidRDefault="00A26578" w:rsidP="00A26578">
      <w:pPr>
        <w:pStyle w:val="ConsPlusNormal"/>
        <w:ind w:firstLine="709"/>
        <w:jc w:val="both"/>
      </w:pPr>
      <w:r w:rsidRPr="00AC1171">
        <w:t xml:space="preserve">1.6. </w:t>
      </w:r>
      <w:proofErr w:type="gramStart"/>
      <w:r w:rsidRPr="00AC1171">
        <w:t xml:space="preserve">Расходы за счет средств бюджета города Перми на канцелярские товары, медикаменты, оплату работы обслуживающего персонала, награждение, оплату услуг по обеспечению транспортными средствами участников мероприятий, оплату услуг по обеспечению безопасности в местах проведения </w:t>
      </w:r>
      <w:r w:rsidRPr="003C6F96">
        <w:t xml:space="preserve">физкультурных и спортивных </w:t>
      </w:r>
      <w:r w:rsidRPr="00AC1171">
        <w:t xml:space="preserve">мероприятий не могут превышать нормы расходов </w:t>
      </w:r>
      <w:r w:rsidRPr="00AC1171">
        <w:lastRenderedPageBreak/>
        <w:t>средств бюджета города Перми на проведение физкультурных и спортивных мероприятий, включенных в календарный план</w:t>
      </w:r>
      <w:r>
        <w:t>.</w:t>
      </w:r>
      <w:proofErr w:type="gramEnd"/>
    </w:p>
    <w:p w:rsidR="00A26578" w:rsidRDefault="00A26578" w:rsidP="00A26578">
      <w:pPr>
        <w:pStyle w:val="ConsPlusNormal"/>
        <w:ind w:firstLine="709"/>
        <w:jc w:val="both"/>
      </w:pPr>
      <w:proofErr w:type="gramStart"/>
      <w:r w:rsidRPr="00AC1171">
        <w:t xml:space="preserve">В случае если нормы расходов средств бюджета города Перми на проведение </w:t>
      </w:r>
      <w:r w:rsidRPr="003C6F96">
        <w:t xml:space="preserve">физкультурных и спортивных </w:t>
      </w:r>
      <w:r w:rsidRPr="00AC1171">
        <w:t>мероприятий не установлены, цена договора на поставку товаров (выполнение работ, оказание услуг) определяется путем анализа контрактов на поставку аналогичных товаров, выполнение аналогичных работ, оказание аналогичных услуг, размещенных в единой информационной системе в сфере закупок, других общедоступных источников информации, в том числе информации информационно-ценовых агентств, общедоступных результатов</w:t>
      </w:r>
      <w:proofErr w:type="gramEnd"/>
      <w:r w:rsidRPr="00AC1171">
        <w:t xml:space="preserve"> изучения рынка.</w:t>
      </w:r>
    </w:p>
    <w:p w:rsidR="00A26578" w:rsidRPr="00AC1171" w:rsidRDefault="00A26578" w:rsidP="00A26578">
      <w:pPr>
        <w:pStyle w:val="ConsPlusNormal"/>
        <w:ind w:firstLine="709"/>
        <w:jc w:val="both"/>
      </w:pPr>
      <w:r>
        <w:t xml:space="preserve">1.7. Финансирование </w:t>
      </w:r>
      <w:r w:rsidRPr="00AC1171">
        <w:t>за счет средств бюджета города Перми</w:t>
      </w:r>
      <w:r w:rsidR="00147561">
        <w:br/>
      </w:r>
      <w:r>
        <w:t>на физкультурные и спортивные мероприятия с количеством участников более 500 человек определяется по смете расходов, утверждаемой приказом председателя Комитета.</w:t>
      </w:r>
    </w:p>
    <w:p w:rsidR="00A26578" w:rsidRPr="001D39F5" w:rsidRDefault="00A26578" w:rsidP="00A26578">
      <w:pPr>
        <w:ind w:firstLine="709"/>
        <w:jc w:val="both"/>
        <w:rPr>
          <w:sz w:val="28"/>
          <w:szCs w:val="28"/>
        </w:rPr>
      </w:pPr>
      <w:r w:rsidRPr="00AC1171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AC1171">
        <w:rPr>
          <w:sz w:val="28"/>
          <w:szCs w:val="28"/>
        </w:rPr>
        <w:t xml:space="preserve">. Мероприятия проводятся на объектах спорта, отвечающих требованиям правил обеспечения безопасности при проведении </w:t>
      </w:r>
      <w:r w:rsidRPr="001D39F5">
        <w:rPr>
          <w:sz w:val="28"/>
          <w:szCs w:val="28"/>
        </w:rPr>
        <w:t xml:space="preserve">официальных спортивных соревнований, а также на территориях, специально подготовленных для проведения официального спортивного соревнования (далее - территория), в том числе на участках автомобильных дорог, площадей, улиц, водных объектов с соблюдением </w:t>
      </w:r>
      <w:hyperlink r:id="rId12" w:history="1">
        <w:r w:rsidRPr="001D39F5">
          <w:rPr>
            <w:sz w:val="28"/>
            <w:szCs w:val="28"/>
          </w:rPr>
          <w:t>Правил</w:t>
        </w:r>
      </w:hyperlink>
      <w:r w:rsidRPr="001D39F5">
        <w:rPr>
          <w:sz w:val="28"/>
          <w:szCs w:val="28"/>
        </w:rPr>
        <w:t xml:space="preserve">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78">
        <w:rPr>
          <w:sz w:val="28"/>
          <w:szCs w:val="28"/>
        </w:rPr>
        <w:t xml:space="preserve">1.9. Для проведения </w:t>
      </w:r>
      <w:proofErr w:type="gramStart"/>
      <w:r w:rsidRPr="00A26578">
        <w:rPr>
          <w:sz w:val="28"/>
          <w:szCs w:val="28"/>
        </w:rPr>
        <w:t>физкультурных</w:t>
      </w:r>
      <w:proofErr w:type="gramEnd"/>
      <w:r w:rsidRPr="00A26578">
        <w:rPr>
          <w:sz w:val="28"/>
          <w:szCs w:val="28"/>
        </w:rPr>
        <w:t xml:space="preserve"> и спортивных мероприятия в комитет предоставляются следующие документы: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78">
        <w:rPr>
          <w:sz w:val="28"/>
          <w:szCs w:val="28"/>
        </w:rPr>
        <w:t>положение о проведении соревнований;</w:t>
      </w:r>
    </w:p>
    <w:p w:rsidR="00A26578" w:rsidRPr="00A26578" w:rsidRDefault="00A26578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578">
        <w:rPr>
          <w:sz w:val="28"/>
          <w:szCs w:val="28"/>
        </w:rPr>
        <w:t>смета расходов.</w:t>
      </w:r>
    </w:p>
    <w:p w:rsidR="00A26578" w:rsidRDefault="00A26578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C81C4D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Организации, проводящие физкультурные мероприятия и спортивные мероприятия за счет собственных средств и прочих внебюджетных источников, могут устанавливать свои нормативы на проведение физкультурных</w:t>
      </w:r>
      <w:r>
        <w:rPr>
          <w:sz w:val="28"/>
          <w:szCs w:val="28"/>
        </w:rPr>
        <w:br/>
        <w:t>и спортивных мероприятий.</w:t>
      </w:r>
    </w:p>
    <w:p w:rsidR="00A26578" w:rsidRDefault="00A26578" w:rsidP="00A26578">
      <w:pPr>
        <w:ind w:firstLine="709"/>
        <w:jc w:val="both"/>
        <w:rPr>
          <w:sz w:val="28"/>
          <w:szCs w:val="28"/>
        </w:rPr>
      </w:pPr>
      <w:r w:rsidRPr="00A26578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A26578">
        <w:rPr>
          <w:sz w:val="28"/>
          <w:szCs w:val="28"/>
        </w:rPr>
        <w:t xml:space="preserve">. Финансирование физкультурных и </w:t>
      </w:r>
      <w:proofErr w:type="gramStart"/>
      <w:r w:rsidRPr="00A26578">
        <w:rPr>
          <w:sz w:val="28"/>
          <w:szCs w:val="28"/>
        </w:rPr>
        <w:t>спортивных мероприятий, включенных в календарный план может</w:t>
      </w:r>
      <w:proofErr w:type="gramEnd"/>
      <w:r w:rsidRPr="00A26578">
        <w:rPr>
          <w:sz w:val="28"/>
          <w:szCs w:val="28"/>
        </w:rPr>
        <w:t xml:space="preserve"> осуществляться так же за счет внебюджетных средств (регистрационные взносы участников, благотворительные взносы, средства партнеров). В этом случае составляется общая смета, в которой указываются средства бюджета города Перми</w:t>
      </w:r>
      <w:r>
        <w:rPr>
          <w:sz w:val="28"/>
          <w:szCs w:val="28"/>
        </w:rPr>
        <w:t xml:space="preserve"> </w:t>
      </w:r>
      <w:r w:rsidRPr="00A26578">
        <w:rPr>
          <w:sz w:val="28"/>
          <w:szCs w:val="28"/>
        </w:rPr>
        <w:t>и внебюджетные средства. Смета утверждается руководителем организации</w:t>
      </w:r>
      <w:r>
        <w:rPr>
          <w:sz w:val="28"/>
          <w:szCs w:val="28"/>
        </w:rPr>
        <w:t>, которая проводит соревнования</w:t>
      </w:r>
      <w:r>
        <w:rPr>
          <w:sz w:val="28"/>
          <w:szCs w:val="28"/>
        </w:rPr>
        <w:br/>
      </w:r>
      <w:r w:rsidRPr="00A26578">
        <w:rPr>
          <w:sz w:val="28"/>
          <w:szCs w:val="28"/>
        </w:rPr>
        <w:t>и которой доведено финансирование средств бюджета города Перми.</w:t>
      </w:r>
    </w:p>
    <w:p w:rsidR="00C81C4D" w:rsidRDefault="00C81C4D" w:rsidP="00A26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Организации, проводящие физкультурные мероприятия и спортивные мероприятия, обязаны сохранять документы, касающиеся проведения физкультурных и спортивных мероприятий, в течение срока, установленного действующим законодательством.</w:t>
      </w:r>
    </w:p>
    <w:p w:rsidR="00705F1F" w:rsidRDefault="00705F1F" w:rsidP="00705F1F">
      <w:pPr>
        <w:pStyle w:val="ConsPlusNormal"/>
        <w:spacing w:before="220"/>
        <w:ind w:firstLine="540"/>
        <w:jc w:val="center"/>
        <w:rPr>
          <w:b/>
        </w:rPr>
      </w:pPr>
      <w:r w:rsidRPr="004F4CF4">
        <w:rPr>
          <w:b/>
          <w:lang w:val="en-US"/>
        </w:rPr>
        <w:t>II</w:t>
      </w:r>
      <w:r w:rsidRPr="004F4CF4">
        <w:rPr>
          <w:b/>
        </w:rPr>
        <w:t>. Финансирование физкультурных</w:t>
      </w:r>
      <w:r>
        <w:rPr>
          <w:b/>
        </w:rPr>
        <w:t xml:space="preserve"> и спортивных</w:t>
      </w:r>
      <w:r w:rsidRPr="004F4CF4">
        <w:rPr>
          <w:b/>
        </w:rPr>
        <w:t xml:space="preserve"> мероприятий</w:t>
      </w:r>
    </w:p>
    <w:p w:rsidR="00705F1F" w:rsidRPr="004F4CF4" w:rsidRDefault="00705F1F" w:rsidP="00705F1F">
      <w:pPr>
        <w:pStyle w:val="ConsPlusNormal"/>
        <w:spacing w:before="220"/>
        <w:ind w:firstLine="540"/>
        <w:jc w:val="center"/>
        <w:rPr>
          <w:b/>
        </w:rPr>
      </w:pPr>
    </w:p>
    <w:p w:rsidR="00705F1F" w:rsidRPr="00433AE0" w:rsidRDefault="00705F1F" w:rsidP="00705F1F">
      <w:pPr>
        <w:pStyle w:val="ConsPlusNormal"/>
        <w:ind w:firstLine="540"/>
        <w:jc w:val="both"/>
      </w:pPr>
      <w:r>
        <w:lastRenderedPageBreak/>
        <w:t>2</w:t>
      </w:r>
      <w:r w:rsidRPr="00433AE0">
        <w:t>.</w:t>
      </w:r>
      <w:r>
        <w:t>1.</w:t>
      </w:r>
      <w:r w:rsidRPr="00433AE0">
        <w:t xml:space="preserve"> При подготовке и проведении </w:t>
      </w:r>
      <w:r w:rsidRPr="004F4CF4">
        <w:t>физкультурных</w:t>
      </w:r>
      <w:r w:rsidRPr="00433AE0">
        <w:t xml:space="preserve"> </w:t>
      </w:r>
      <w:r>
        <w:t xml:space="preserve">и спортивных </w:t>
      </w:r>
      <w:r w:rsidRPr="00433AE0">
        <w:t xml:space="preserve">мероприятий, осуществляется </w:t>
      </w:r>
      <w:r>
        <w:t>финансовое обеспечение расходов</w:t>
      </w:r>
      <w:r w:rsidRPr="00433AE0">
        <w:t xml:space="preserve"> по оплате:</w:t>
      </w:r>
    </w:p>
    <w:p w:rsidR="00705F1F" w:rsidRDefault="00705F1F" w:rsidP="00705F1F">
      <w:pPr>
        <w:pStyle w:val="ConsPlusNormal"/>
        <w:ind w:firstLine="540"/>
        <w:jc w:val="both"/>
      </w:pPr>
      <w:r>
        <w:t>2</w:t>
      </w:r>
      <w:r w:rsidRPr="00433AE0">
        <w:t>.1.</w:t>
      </w:r>
      <w:r>
        <w:t>1.</w:t>
      </w:r>
      <w:r w:rsidRPr="00433AE0">
        <w:t xml:space="preserve"> </w:t>
      </w:r>
      <w:r>
        <w:t>услуг по</w:t>
      </w:r>
      <w:r w:rsidRPr="00F97E69">
        <w:t xml:space="preserve"> информационно</w:t>
      </w:r>
      <w:r w:rsidR="00C81C4D">
        <w:t>-техническому</w:t>
      </w:r>
      <w:r w:rsidRPr="00F97E69">
        <w:t xml:space="preserve"> сопровождени</w:t>
      </w:r>
      <w:r>
        <w:t>ю</w:t>
      </w:r>
      <w:r w:rsidRPr="00F97E69">
        <w:t>;</w:t>
      </w:r>
    </w:p>
    <w:p w:rsidR="00705F1F" w:rsidRPr="00433AE0" w:rsidRDefault="00705F1F" w:rsidP="00705F1F">
      <w:pPr>
        <w:pStyle w:val="ConsPlusNormal"/>
        <w:ind w:firstLine="540"/>
        <w:jc w:val="both"/>
      </w:pPr>
      <w:r>
        <w:t>2.1.2. аренды объекта спорта;</w:t>
      </w:r>
    </w:p>
    <w:p w:rsidR="00705F1F" w:rsidRDefault="00705F1F" w:rsidP="00705F1F">
      <w:pPr>
        <w:pStyle w:val="ConsPlusNormal"/>
        <w:ind w:firstLine="540"/>
        <w:jc w:val="both"/>
      </w:pPr>
      <w:r>
        <w:t>2</w:t>
      </w:r>
      <w:r w:rsidRPr="00433AE0">
        <w:t>.</w:t>
      </w:r>
      <w:r>
        <w:t>1.3</w:t>
      </w:r>
      <w:r w:rsidRPr="00433AE0">
        <w:t>. услуг по предоставлению объектов спорта</w:t>
      </w:r>
      <w:r>
        <w:t xml:space="preserve"> </w:t>
      </w:r>
      <w:r w:rsidRPr="00BB7441">
        <w:t>в пользование и (или) компенсаци</w:t>
      </w:r>
      <w:r>
        <w:t>и</w:t>
      </w:r>
      <w:r w:rsidRPr="00BB7441">
        <w:t xml:space="preserve"> фактически понесенных расходов на содержание объектов спорта, предоставленных в пользование</w:t>
      </w:r>
      <w:r>
        <w:t>;</w:t>
      </w:r>
    </w:p>
    <w:p w:rsidR="00705F1F" w:rsidRPr="00433AE0" w:rsidRDefault="00705F1F" w:rsidP="00705F1F">
      <w:pPr>
        <w:pStyle w:val="ConsPlusNormal"/>
        <w:ind w:firstLine="540"/>
        <w:jc w:val="both"/>
      </w:pPr>
      <w:r>
        <w:t>2.1.4</w:t>
      </w:r>
      <w:r w:rsidRPr="00433AE0">
        <w:t xml:space="preserve">. услуг по подготовке мест проведения </w:t>
      </w:r>
      <w:r>
        <w:t>физкультурных и спортивных мероприятий</w:t>
      </w:r>
      <w:r w:rsidRPr="00433AE0">
        <w:t>;</w:t>
      </w:r>
    </w:p>
    <w:p w:rsidR="00705F1F" w:rsidRPr="00433AE0" w:rsidRDefault="00705F1F" w:rsidP="00705F1F">
      <w:pPr>
        <w:pStyle w:val="ConsPlusNormal"/>
        <w:ind w:firstLine="540"/>
        <w:jc w:val="both"/>
      </w:pPr>
      <w:r>
        <w:t>2.1.5</w:t>
      </w:r>
      <w:r w:rsidRPr="00433AE0">
        <w:t>. услуг по обеспечению транспортными средствами</w:t>
      </w:r>
      <w:r>
        <w:t xml:space="preserve"> и </w:t>
      </w:r>
      <w:r w:rsidRPr="00B81FA9">
        <w:t>услуг выездной бригады скорой медицинской помощи</w:t>
      </w:r>
      <w:r w:rsidRPr="00433AE0">
        <w:t>;</w:t>
      </w:r>
    </w:p>
    <w:p w:rsidR="00705F1F" w:rsidRPr="00BB7441" w:rsidRDefault="00705F1F" w:rsidP="00705F1F">
      <w:pPr>
        <w:pStyle w:val="ConsPlusNormal"/>
        <w:ind w:firstLine="540"/>
        <w:jc w:val="both"/>
      </w:pPr>
      <w:r>
        <w:t>2.1.6</w:t>
      </w:r>
      <w:r w:rsidRPr="00433AE0">
        <w:t xml:space="preserve">. услуг по обеспечению </w:t>
      </w:r>
      <w:r w:rsidRPr="00BB7441">
        <w:t>наградной атрибутикой (медали, дипломы, кубки</w:t>
      </w:r>
      <w:r w:rsidR="00C81C4D">
        <w:t>)</w:t>
      </w:r>
      <w:r w:rsidRPr="00BB7441">
        <w:t>;</w:t>
      </w:r>
    </w:p>
    <w:p w:rsidR="00705F1F" w:rsidRPr="00433AE0" w:rsidRDefault="00705F1F" w:rsidP="00705F1F">
      <w:pPr>
        <w:pStyle w:val="ConsPlusNormal"/>
        <w:ind w:firstLine="540"/>
        <w:jc w:val="both"/>
      </w:pPr>
      <w:r>
        <w:t>2.1.7</w:t>
      </w:r>
      <w:r w:rsidRPr="00BB7441">
        <w:t>. услуг по обеспечению сувенирной</w:t>
      </w:r>
      <w:r w:rsidRPr="00433AE0">
        <w:t xml:space="preserve"> продукцией участников </w:t>
      </w:r>
      <w:r>
        <w:t>физкультурных и спортивных мероприятий</w:t>
      </w:r>
      <w:r w:rsidRPr="00433AE0">
        <w:t>;</w:t>
      </w:r>
    </w:p>
    <w:p w:rsidR="00705F1F" w:rsidRPr="00B343D6" w:rsidRDefault="00705F1F" w:rsidP="00705F1F">
      <w:pPr>
        <w:pStyle w:val="ConsPlusNormal"/>
        <w:ind w:firstLine="540"/>
        <w:jc w:val="both"/>
      </w:pPr>
      <w:r>
        <w:t>2.1.8</w:t>
      </w:r>
      <w:r w:rsidRPr="00433AE0">
        <w:t xml:space="preserve">. работы спортивных судей </w:t>
      </w:r>
      <w:r w:rsidRPr="00B343D6">
        <w:t>(далее - судьи), врачей, медсестер, радистов, рабочих и иного обслуживающего персонала, а также на оплату страховых взносов на обязательное пенсионное страхование в Пенсионный фонд Российской Федерации, страховых взносов на обяза</w:t>
      </w:r>
      <w:r w:rsidR="00147561">
        <w:t>тельное медицинское страхование</w:t>
      </w:r>
      <w:r w:rsidR="00147561">
        <w:br/>
      </w:r>
      <w:r w:rsidRPr="00B343D6">
        <w:t>в Федеральный фонд обязательного медицинского страхования;</w:t>
      </w:r>
    </w:p>
    <w:p w:rsidR="00705F1F" w:rsidRPr="00433AE0" w:rsidRDefault="00705F1F" w:rsidP="00705F1F">
      <w:pPr>
        <w:pStyle w:val="ConsPlusNormal"/>
        <w:ind w:firstLine="540"/>
        <w:jc w:val="both"/>
      </w:pPr>
      <w:r>
        <w:t>2.1.9</w:t>
      </w:r>
      <w:r w:rsidRPr="00433AE0">
        <w:t xml:space="preserve">. услуг по обеспечению безопасности в </w:t>
      </w:r>
      <w:proofErr w:type="gramStart"/>
      <w:r w:rsidRPr="00433AE0">
        <w:t>местах</w:t>
      </w:r>
      <w:proofErr w:type="gramEnd"/>
      <w:r w:rsidRPr="00433AE0">
        <w:t xml:space="preserve"> проведения </w:t>
      </w:r>
      <w:r>
        <w:t>физкультурных и спортивных мероприятий</w:t>
      </w:r>
      <w:r w:rsidRPr="00433AE0">
        <w:t>;</w:t>
      </w:r>
    </w:p>
    <w:p w:rsidR="00705F1F" w:rsidRDefault="00705F1F" w:rsidP="00705F1F">
      <w:pPr>
        <w:pStyle w:val="ConsPlusNormal"/>
        <w:ind w:firstLine="540"/>
        <w:jc w:val="both"/>
      </w:pPr>
      <w:r>
        <w:t>2.1.10</w:t>
      </w:r>
      <w:r w:rsidRPr="00433AE0">
        <w:t xml:space="preserve">. услуг по организации и проведению торжественных церемоний </w:t>
      </w:r>
      <w:r w:rsidRPr="00F97E69">
        <w:t xml:space="preserve">(церемонии открытия, награждения, закрытия мероприятия) </w:t>
      </w:r>
      <w:r w:rsidRPr="00433AE0">
        <w:t xml:space="preserve">на </w:t>
      </w:r>
      <w:r w:rsidR="00147561">
        <w:t>физкультурных</w:t>
      </w:r>
      <w:r w:rsidR="00147561">
        <w:br/>
      </w:r>
      <w:r>
        <w:t>и спортивных мероприятиях</w:t>
      </w:r>
      <w:r w:rsidRPr="00433AE0">
        <w:t>;</w:t>
      </w:r>
    </w:p>
    <w:p w:rsidR="00705F1F" w:rsidRPr="00F97E69" w:rsidRDefault="00705F1F" w:rsidP="00705F1F">
      <w:pPr>
        <w:pStyle w:val="ConsPlusNormal"/>
        <w:ind w:firstLine="540"/>
        <w:jc w:val="both"/>
      </w:pPr>
      <w:r>
        <w:t xml:space="preserve">2.1.11. </w:t>
      </w:r>
      <w:r w:rsidRPr="00F97E69">
        <w:t xml:space="preserve">услуг </w:t>
      </w:r>
      <w:proofErr w:type="spellStart"/>
      <w:r w:rsidRPr="00F97E69">
        <w:t>биотуалетов</w:t>
      </w:r>
      <w:proofErr w:type="spellEnd"/>
      <w:r>
        <w:t>;</w:t>
      </w:r>
    </w:p>
    <w:p w:rsidR="00705F1F" w:rsidRPr="00F97E69" w:rsidRDefault="00705F1F" w:rsidP="00705F1F">
      <w:pPr>
        <w:pStyle w:val="ConsPlusNormal"/>
        <w:ind w:firstLine="540"/>
        <w:jc w:val="both"/>
      </w:pPr>
      <w:r>
        <w:t>2.1</w:t>
      </w:r>
      <w:r w:rsidRPr="00F97E69">
        <w:t>.12. приобретения медикаментов, канцтоваров, полиграфической продукции и рекламной продукции;</w:t>
      </w:r>
    </w:p>
    <w:p w:rsidR="00705F1F" w:rsidRPr="00F97E69" w:rsidRDefault="00705F1F" w:rsidP="00705F1F">
      <w:pPr>
        <w:pStyle w:val="ConsPlusNormal"/>
        <w:ind w:firstLine="540"/>
        <w:jc w:val="both"/>
      </w:pPr>
      <w:r>
        <w:t>2.1</w:t>
      </w:r>
      <w:r w:rsidRPr="00F97E69">
        <w:t>.13. услуг компьютерного обеспечения,</w:t>
      </w:r>
    </w:p>
    <w:p w:rsidR="00705F1F" w:rsidRPr="00F97E69" w:rsidRDefault="00705F1F" w:rsidP="00705F1F">
      <w:pPr>
        <w:pStyle w:val="ConsPlusNormal"/>
        <w:ind w:firstLine="540"/>
        <w:jc w:val="both"/>
      </w:pPr>
      <w:r>
        <w:t>2.1</w:t>
      </w:r>
      <w:r w:rsidRPr="00F97E69">
        <w:t>.1</w:t>
      </w:r>
      <w:r>
        <w:t>4. услуг</w:t>
      </w:r>
      <w:r w:rsidRPr="00F97E69">
        <w:t xml:space="preserve"> предоставления видео-, световой и звуковой аппаратуры</w:t>
      </w:r>
      <w:r w:rsidR="00147561">
        <w:t>,</w:t>
      </w:r>
      <w:r w:rsidR="00147561">
        <w:br/>
      </w:r>
      <w:r w:rsidRPr="00F97E69">
        <w:t>по обеспечению электронно-техническим оборудованием и контрольно-измерительными приборами;</w:t>
      </w:r>
    </w:p>
    <w:p w:rsidR="00705F1F" w:rsidRPr="00F97E69" w:rsidRDefault="00705F1F" w:rsidP="00705F1F">
      <w:pPr>
        <w:pStyle w:val="ConsPlusNormal"/>
        <w:ind w:firstLine="540"/>
        <w:jc w:val="both"/>
      </w:pPr>
      <w:r>
        <w:t xml:space="preserve">2.1.15. </w:t>
      </w:r>
      <w:r w:rsidRPr="00F97E69">
        <w:t>на подготовку объекта спорта, территории к проведению спортивного мероприятия, в том числе на подготовку трасс, водных объектов, улиц, площадей, автомобильных дорог, обеспечение проезда специальной техники, транспортных сре</w:t>
      </w:r>
      <w:proofErr w:type="gramStart"/>
      <w:r w:rsidRPr="00F97E69">
        <w:t>дств сп</w:t>
      </w:r>
      <w:proofErr w:type="gramEnd"/>
      <w:r w:rsidRPr="00F97E69">
        <w:t>ециальных служб, организацию стоянки, подготовку мест для размещения зрителей, за исключением расходов на строительство, реконструкцию и ремонт объекта спорта;</w:t>
      </w:r>
    </w:p>
    <w:p w:rsidR="00705F1F" w:rsidRPr="00F97E69" w:rsidRDefault="00705F1F" w:rsidP="00705F1F">
      <w:pPr>
        <w:pStyle w:val="ConsPlusNormal"/>
        <w:ind w:firstLine="540"/>
        <w:jc w:val="both"/>
      </w:pPr>
      <w:r>
        <w:t xml:space="preserve">2.1.16. </w:t>
      </w:r>
      <w:r w:rsidRPr="00F97E69">
        <w:t>на аренду оборудования для проведения мероприятия.</w:t>
      </w:r>
    </w:p>
    <w:p w:rsidR="00705F1F" w:rsidRPr="00C81C4D" w:rsidRDefault="00705F1F" w:rsidP="00705F1F">
      <w:pPr>
        <w:pStyle w:val="ConsPlusNormal"/>
        <w:ind w:firstLine="540"/>
        <w:jc w:val="both"/>
      </w:pPr>
      <w:r>
        <w:t>2.2.</w:t>
      </w:r>
      <w:r w:rsidRPr="00F97E69">
        <w:t xml:space="preserve"> Численный </w:t>
      </w:r>
      <w:r w:rsidRPr="00C81C4D">
        <w:t>состав судейских бригад определяется по нормативам, установленным действующими правилами соревнований по виду спорта, утвержденными федеральным органом исполнительной власти в области физической культуры и спорта. В случаях отсутствия утвержденных нормативов возмещение расходов производится из расчета не б</w:t>
      </w:r>
      <w:r w:rsidR="00147561">
        <w:t>олее 7 человек</w:t>
      </w:r>
      <w:r w:rsidR="00147561">
        <w:br/>
      </w:r>
      <w:r w:rsidRPr="00C81C4D">
        <w:t>на физкультурное и спортивное мероприятие.</w:t>
      </w:r>
    </w:p>
    <w:p w:rsidR="00705F1F" w:rsidRDefault="00705F1F" w:rsidP="00705F1F">
      <w:pPr>
        <w:pStyle w:val="ConsPlusNormal"/>
        <w:ind w:firstLine="540"/>
        <w:jc w:val="both"/>
      </w:pPr>
      <w:r w:rsidRPr="00C81C4D">
        <w:lastRenderedPageBreak/>
        <w:t>2.</w:t>
      </w:r>
      <w:r w:rsidR="00C81C4D">
        <w:t>3</w:t>
      </w:r>
      <w:r w:rsidRPr="00C81C4D">
        <w:t>. Контроль за целевым использованием средств бюджета города Перми, выделяемых на финансирование мероприятий, предусмотренных настоящим Порядком, осуществляется уполномо</w:t>
      </w:r>
      <w:r w:rsidR="00147561">
        <w:t xml:space="preserve">ченными органами в </w:t>
      </w:r>
      <w:proofErr w:type="gramStart"/>
      <w:r w:rsidR="00147561">
        <w:t>соответствии</w:t>
      </w:r>
      <w:proofErr w:type="gramEnd"/>
      <w:r w:rsidR="00147561">
        <w:br/>
      </w:r>
      <w:r w:rsidRPr="00C81C4D">
        <w:t>с бюджетным законодательством.</w:t>
      </w:r>
    </w:p>
    <w:p w:rsidR="00D5503A" w:rsidRDefault="00D5503A">
      <w:pPr>
        <w:rPr>
          <w:sz w:val="28"/>
          <w:szCs w:val="28"/>
        </w:rPr>
      </w:pPr>
      <w:r>
        <w:br w:type="page"/>
      </w:r>
    </w:p>
    <w:p w:rsidR="00D5503A" w:rsidRPr="001E58E2" w:rsidRDefault="00D5503A" w:rsidP="00D5503A">
      <w:pPr>
        <w:pStyle w:val="ConsPlusNormal"/>
        <w:ind w:left="5670"/>
        <w:outlineLvl w:val="0"/>
      </w:pPr>
      <w:r w:rsidRPr="001E58E2">
        <w:lastRenderedPageBreak/>
        <w:t>УТВЕРЖДЕНЫ</w:t>
      </w:r>
    </w:p>
    <w:p w:rsidR="00D5503A" w:rsidRPr="001E58E2" w:rsidRDefault="00D5503A" w:rsidP="00D5503A">
      <w:pPr>
        <w:pStyle w:val="ConsPlusNormal"/>
        <w:ind w:left="5670"/>
      </w:pPr>
      <w:r w:rsidRPr="001E58E2">
        <w:t>Постановлением</w:t>
      </w:r>
    </w:p>
    <w:p w:rsidR="00D5503A" w:rsidRDefault="00D5503A" w:rsidP="00D5503A">
      <w:pPr>
        <w:pStyle w:val="ConsPlusNormal"/>
        <w:ind w:left="5670"/>
      </w:pPr>
      <w:r>
        <w:t>а</w:t>
      </w:r>
      <w:r w:rsidRPr="001E58E2">
        <w:t>дминистрации города Перми</w:t>
      </w:r>
    </w:p>
    <w:p w:rsidR="00D5503A" w:rsidRPr="001E58E2" w:rsidRDefault="00D5503A" w:rsidP="00D5503A">
      <w:pPr>
        <w:pStyle w:val="ConsPlusNormal"/>
        <w:ind w:left="5670"/>
      </w:pPr>
    </w:p>
    <w:p w:rsidR="00D5503A" w:rsidRPr="001E58E2" w:rsidRDefault="00D5503A" w:rsidP="00D5503A">
      <w:pPr>
        <w:pStyle w:val="ConsPlusNormal"/>
        <w:spacing w:before="220"/>
        <w:ind w:firstLine="540"/>
        <w:jc w:val="both"/>
      </w:pPr>
    </w:p>
    <w:p w:rsidR="00D5503A" w:rsidRPr="001E58E2" w:rsidRDefault="00D5503A" w:rsidP="00D55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НОРМЫ</w:t>
      </w:r>
    </w:p>
    <w:p w:rsidR="00D5503A" w:rsidRPr="001E58E2" w:rsidRDefault="00D5503A" w:rsidP="00D55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расходов средств бюджета города Перми на проведение</w:t>
      </w:r>
    </w:p>
    <w:p w:rsidR="00D5503A" w:rsidRPr="001E58E2" w:rsidRDefault="00D5503A" w:rsidP="00D55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физкультурных и спортивных мероприятий, включенных</w:t>
      </w:r>
    </w:p>
    <w:p w:rsidR="00D5503A" w:rsidRPr="001E58E2" w:rsidRDefault="00D5503A" w:rsidP="00D55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в календарный план официальных физкультурных мероприятий</w:t>
      </w:r>
    </w:p>
    <w:p w:rsidR="00D5503A" w:rsidRDefault="00D5503A" w:rsidP="00D55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и спортивных мероприятий города Перми</w:t>
      </w:r>
    </w:p>
    <w:p w:rsidR="00D5503A" w:rsidRDefault="00D5503A" w:rsidP="00D55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503A" w:rsidRDefault="00D5503A" w:rsidP="00D55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503A" w:rsidRDefault="00D5503A" w:rsidP="00D5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03A">
        <w:rPr>
          <w:sz w:val="28"/>
          <w:szCs w:val="28"/>
        </w:rPr>
        <w:t>1.1. Нормы расходов средств бюджета города Перми на выплату спортивным судьям за обслуживание физкультурных и спортивных мероприятий</w:t>
      </w:r>
    </w:p>
    <w:p w:rsidR="00D5503A" w:rsidRPr="00D5503A" w:rsidRDefault="00D5503A" w:rsidP="00D55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1543"/>
        <w:gridCol w:w="158"/>
        <w:gridCol w:w="1241"/>
        <w:gridCol w:w="177"/>
        <w:gridCol w:w="1222"/>
        <w:gridCol w:w="479"/>
        <w:gridCol w:w="920"/>
        <w:gridCol w:w="639"/>
        <w:gridCol w:w="1701"/>
      </w:tblGrid>
      <w:tr w:rsidR="00D5503A" w:rsidRPr="005D1247" w:rsidTr="00D5503A">
        <w:tc>
          <w:tcPr>
            <w:tcW w:w="1910" w:type="dxa"/>
            <w:vMerge w:val="restart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 xml:space="preserve">Наименования спортивных судей в </w:t>
            </w:r>
            <w:proofErr w:type="gramStart"/>
            <w:r w:rsidRPr="005D1247">
              <w:t>составе</w:t>
            </w:r>
            <w:proofErr w:type="gramEnd"/>
            <w:r w:rsidRPr="005D1247">
              <w:t xml:space="preserve"> судейской бригады</w:t>
            </w:r>
          </w:p>
        </w:tc>
        <w:tc>
          <w:tcPr>
            <w:tcW w:w="8080" w:type="dxa"/>
            <w:gridSpan w:val="9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 xml:space="preserve">Размер оплаты с учетом квалификационных категорий спортивных </w:t>
            </w:r>
            <w:r w:rsidRPr="009942AB">
              <w:rPr>
                <w:color w:val="000000" w:themeColor="text1"/>
              </w:rPr>
              <w:t xml:space="preserve">судей </w:t>
            </w:r>
            <w:hyperlink w:anchor="P631" w:history="1">
              <w:r w:rsidRPr="009942AB">
                <w:rPr>
                  <w:color w:val="000000" w:themeColor="text1"/>
                </w:rPr>
                <w:t>&lt;1&gt;</w:t>
              </w:r>
            </w:hyperlink>
            <w:r w:rsidRPr="009942AB">
              <w:rPr>
                <w:color w:val="000000" w:themeColor="text1"/>
              </w:rPr>
              <w:t>, за</w:t>
            </w:r>
            <w:r w:rsidRPr="005D1247">
              <w:t xml:space="preserve"> исключением командных игровых видов спорта (производится за обслуживание одного соревновательного дня, руб.)</w:t>
            </w:r>
          </w:p>
        </w:tc>
      </w:tr>
      <w:tr w:rsidR="00D5503A" w:rsidRPr="005D1247" w:rsidTr="00D5503A">
        <w:tc>
          <w:tcPr>
            <w:tcW w:w="1910" w:type="dxa"/>
            <w:vMerge/>
          </w:tcPr>
          <w:p w:rsidR="00D5503A" w:rsidRPr="005D1247" w:rsidRDefault="00D5503A" w:rsidP="00785AF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спортивный судья всероссийской категории</w:t>
            </w:r>
          </w:p>
        </w:tc>
        <w:tc>
          <w:tcPr>
            <w:tcW w:w="1418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спортивный судья первой категории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спортивный судья второй категории</w:t>
            </w:r>
          </w:p>
        </w:tc>
        <w:tc>
          <w:tcPr>
            <w:tcW w:w="155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спортивный судья третьей категории</w:t>
            </w:r>
          </w:p>
        </w:tc>
        <w:tc>
          <w:tcPr>
            <w:tcW w:w="1701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юный спортивный судья</w:t>
            </w:r>
          </w:p>
        </w:tc>
      </w:tr>
      <w:tr w:rsidR="00D5503A" w:rsidRPr="005D1247" w:rsidTr="00D5503A">
        <w:tc>
          <w:tcPr>
            <w:tcW w:w="1910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1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2</w:t>
            </w:r>
          </w:p>
        </w:tc>
        <w:tc>
          <w:tcPr>
            <w:tcW w:w="1418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3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4</w:t>
            </w:r>
          </w:p>
        </w:tc>
        <w:tc>
          <w:tcPr>
            <w:tcW w:w="155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5</w:t>
            </w:r>
          </w:p>
        </w:tc>
        <w:tc>
          <w:tcPr>
            <w:tcW w:w="1701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6</w:t>
            </w:r>
          </w:p>
        </w:tc>
      </w:tr>
      <w:tr w:rsidR="00D5503A" w:rsidRPr="005D1247" w:rsidTr="00D5503A">
        <w:tc>
          <w:tcPr>
            <w:tcW w:w="1910" w:type="dxa"/>
          </w:tcPr>
          <w:p w:rsidR="00D5503A" w:rsidRPr="005D1247" w:rsidRDefault="00D5503A" w:rsidP="00785AFF">
            <w:pPr>
              <w:pStyle w:val="ConsPlusNormal"/>
            </w:pPr>
            <w:r w:rsidRPr="005D1247">
              <w:t>Главный спортивный судья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1000</w:t>
            </w:r>
          </w:p>
        </w:tc>
        <w:tc>
          <w:tcPr>
            <w:tcW w:w="1418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850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155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1701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</w:tr>
      <w:tr w:rsidR="00D5503A" w:rsidRPr="005D1247" w:rsidTr="00D5503A">
        <w:tc>
          <w:tcPr>
            <w:tcW w:w="1910" w:type="dxa"/>
          </w:tcPr>
          <w:p w:rsidR="00D5503A" w:rsidRPr="005D1247" w:rsidRDefault="00D5503A" w:rsidP="00785AFF">
            <w:pPr>
              <w:pStyle w:val="ConsPlusNormal"/>
            </w:pPr>
            <w:r w:rsidRPr="005D1247">
              <w:t>Главный спортивный судья-секретарь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1000</w:t>
            </w:r>
          </w:p>
        </w:tc>
        <w:tc>
          <w:tcPr>
            <w:tcW w:w="1418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850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155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1701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</w:tr>
      <w:tr w:rsidR="00D5503A" w:rsidRPr="005D1247" w:rsidTr="00D5503A">
        <w:tc>
          <w:tcPr>
            <w:tcW w:w="1910" w:type="dxa"/>
          </w:tcPr>
          <w:p w:rsidR="00D5503A" w:rsidRPr="005D1247" w:rsidRDefault="00D5503A" w:rsidP="00785AFF">
            <w:pPr>
              <w:pStyle w:val="ConsPlusNormal"/>
            </w:pPr>
            <w:r w:rsidRPr="005D1247">
              <w:t>Заместитель главного спортивного судьи, главного секретаря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900</w:t>
            </w:r>
          </w:p>
        </w:tc>
        <w:tc>
          <w:tcPr>
            <w:tcW w:w="1418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800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640</w:t>
            </w:r>
          </w:p>
        </w:tc>
        <w:tc>
          <w:tcPr>
            <w:tcW w:w="155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1701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</w:tr>
      <w:tr w:rsidR="00D5503A" w:rsidRPr="005D1247" w:rsidTr="00D5503A">
        <w:tc>
          <w:tcPr>
            <w:tcW w:w="1910" w:type="dxa"/>
          </w:tcPr>
          <w:p w:rsidR="00D5503A" w:rsidRPr="005D1247" w:rsidRDefault="00D5503A" w:rsidP="00785AFF">
            <w:pPr>
              <w:pStyle w:val="ConsPlusNormal"/>
            </w:pPr>
            <w:r w:rsidRPr="005D1247">
              <w:t>Спортивный судья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850</w:t>
            </w:r>
          </w:p>
        </w:tc>
        <w:tc>
          <w:tcPr>
            <w:tcW w:w="1418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750</w:t>
            </w:r>
          </w:p>
        </w:tc>
        <w:tc>
          <w:tcPr>
            <w:tcW w:w="1701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600</w:t>
            </w:r>
          </w:p>
        </w:tc>
        <w:tc>
          <w:tcPr>
            <w:tcW w:w="155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450</w:t>
            </w:r>
          </w:p>
        </w:tc>
        <w:tc>
          <w:tcPr>
            <w:tcW w:w="1701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380</w:t>
            </w:r>
          </w:p>
        </w:tc>
      </w:tr>
      <w:tr w:rsidR="00D5503A" w:rsidRPr="005D1247" w:rsidTr="00D5503A">
        <w:tc>
          <w:tcPr>
            <w:tcW w:w="9990" w:type="dxa"/>
            <w:gridSpan w:val="10"/>
          </w:tcPr>
          <w:p w:rsidR="00D5503A" w:rsidRPr="005D1247" w:rsidRDefault="00D5503A" w:rsidP="00785AFF">
            <w:pPr>
              <w:pStyle w:val="ConsPlusNormal"/>
              <w:jc w:val="both"/>
            </w:pPr>
            <w:r w:rsidRPr="005D1247">
              <w:lastRenderedPageBreak/>
              <w:t>Командные игровые виды спорта (производится за обслуживание одной игры)</w:t>
            </w:r>
          </w:p>
        </w:tc>
      </w:tr>
      <w:tr w:rsidR="00D5503A" w:rsidRPr="005D1247" w:rsidTr="00D5503A">
        <w:tc>
          <w:tcPr>
            <w:tcW w:w="1910" w:type="dxa"/>
          </w:tcPr>
          <w:p w:rsidR="00D5503A" w:rsidRPr="005D1247" w:rsidRDefault="00D5503A" w:rsidP="00785AFF">
            <w:pPr>
              <w:pStyle w:val="ConsPlusNormal"/>
            </w:pPr>
            <w:r w:rsidRPr="005D1247">
              <w:t>Главный спортивный судья</w:t>
            </w:r>
          </w:p>
        </w:tc>
        <w:tc>
          <w:tcPr>
            <w:tcW w:w="1543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850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750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2340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</w:tr>
      <w:tr w:rsidR="00D5503A" w:rsidRPr="005D1247" w:rsidTr="00D5503A">
        <w:tc>
          <w:tcPr>
            <w:tcW w:w="1910" w:type="dxa"/>
          </w:tcPr>
          <w:p w:rsidR="00D5503A" w:rsidRPr="005D1247" w:rsidRDefault="00D5503A" w:rsidP="00785AFF">
            <w:pPr>
              <w:pStyle w:val="ConsPlusNormal"/>
            </w:pPr>
            <w:r w:rsidRPr="005D1247">
              <w:t>Помощник главного спортивного судьи</w:t>
            </w:r>
          </w:p>
        </w:tc>
        <w:tc>
          <w:tcPr>
            <w:tcW w:w="1543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850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750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500</w:t>
            </w:r>
          </w:p>
        </w:tc>
        <w:tc>
          <w:tcPr>
            <w:tcW w:w="2340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</w:tr>
      <w:tr w:rsidR="00D5503A" w:rsidRPr="005D1247" w:rsidTr="00D5503A">
        <w:tc>
          <w:tcPr>
            <w:tcW w:w="1910" w:type="dxa"/>
          </w:tcPr>
          <w:p w:rsidR="00D5503A" w:rsidRPr="005D1247" w:rsidRDefault="00D5503A" w:rsidP="00785AFF">
            <w:pPr>
              <w:pStyle w:val="ConsPlusNormal"/>
              <w:jc w:val="both"/>
            </w:pPr>
            <w:r w:rsidRPr="005D1247">
              <w:t>Комиссар</w:t>
            </w:r>
          </w:p>
        </w:tc>
        <w:tc>
          <w:tcPr>
            <w:tcW w:w="1543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800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  <w:tc>
          <w:tcPr>
            <w:tcW w:w="2340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-</w:t>
            </w:r>
          </w:p>
        </w:tc>
      </w:tr>
      <w:tr w:rsidR="00D5503A" w:rsidRPr="005D1247" w:rsidTr="00D5503A">
        <w:tc>
          <w:tcPr>
            <w:tcW w:w="1910" w:type="dxa"/>
          </w:tcPr>
          <w:p w:rsidR="00D5503A" w:rsidRPr="005D1247" w:rsidRDefault="00D5503A" w:rsidP="00785AFF">
            <w:pPr>
              <w:pStyle w:val="ConsPlusNormal"/>
            </w:pPr>
            <w:r w:rsidRPr="005D1247">
              <w:t>Спортивный судья, входящий в состав судейской бригады</w:t>
            </w:r>
          </w:p>
        </w:tc>
        <w:tc>
          <w:tcPr>
            <w:tcW w:w="1543" w:type="dxa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750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700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650</w:t>
            </w:r>
          </w:p>
        </w:tc>
        <w:tc>
          <w:tcPr>
            <w:tcW w:w="1399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620</w:t>
            </w:r>
          </w:p>
        </w:tc>
        <w:tc>
          <w:tcPr>
            <w:tcW w:w="2340" w:type="dxa"/>
            <w:gridSpan w:val="2"/>
          </w:tcPr>
          <w:p w:rsidR="00D5503A" w:rsidRPr="005D1247" w:rsidRDefault="00D5503A" w:rsidP="00785AFF">
            <w:pPr>
              <w:pStyle w:val="ConsPlusNormal"/>
              <w:jc w:val="center"/>
            </w:pPr>
            <w:r w:rsidRPr="005D1247">
              <w:t>600</w:t>
            </w:r>
          </w:p>
        </w:tc>
      </w:tr>
    </w:tbl>
    <w:p w:rsidR="00D5503A" w:rsidRDefault="00D5503A" w:rsidP="00705F1F">
      <w:pPr>
        <w:pStyle w:val="ConsPlusNormal"/>
        <w:ind w:firstLine="540"/>
        <w:jc w:val="both"/>
      </w:pPr>
    </w:p>
    <w:p w:rsidR="00D5503A" w:rsidRPr="005D1247" w:rsidRDefault="00D5503A" w:rsidP="00D5503A">
      <w:pPr>
        <w:pStyle w:val="ConsPlusNormal"/>
        <w:spacing w:before="220"/>
        <w:ind w:firstLine="540"/>
        <w:jc w:val="both"/>
      </w:pPr>
      <w:r w:rsidRPr="005D1247">
        <w:t>&lt;1</w:t>
      </w:r>
      <w:r w:rsidRPr="009942AB">
        <w:rPr>
          <w:color w:val="000000" w:themeColor="text1"/>
        </w:rPr>
        <w:t xml:space="preserve">&gt; </w:t>
      </w:r>
      <w:hyperlink r:id="rId13" w:history="1">
        <w:r w:rsidRPr="009942AB">
          <w:rPr>
            <w:color w:val="000000" w:themeColor="text1"/>
          </w:rPr>
          <w:t>Положение</w:t>
        </w:r>
      </w:hyperlink>
      <w:r w:rsidRPr="009942AB">
        <w:rPr>
          <w:color w:val="000000" w:themeColor="text1"/>
        </w:rPr>
        <w:t xml:space="preserve"> о</w:t>
      </w:r>
      <w:r w:rsidRPr="005D1247">
        <w:t xml:space="preserve"> спортивных судьях, утвержденное Приказом Министерства спорта Российской Федерации от 28 февраля 2017 г. N 134.</w:t>
      </w:r>
    </w:p>
    <w:p w:rsidR="00D5503A" w:rsidRDefault="00D5503A" w:rsidP="00D5503A">
      <w:pPr>
        <w:pStyle w:val="ConsPlusNormal"/>
        <w:ind w:firstLine="540"/>
        <w:jc w:val="both"/>
      </w:pPr>
    </w:p>
    <w:p w:rsidR="00D5503A" w:rsidRPr="005D1247" w:rsidRDefault="00D5503A" w:rsidP="00D5503A">
      <w:pPr>
        <w:pStyle w:val="ConsPlusNormal"/>
        <w:ind w:firstLine="709"/>
        <w:jc w:val="both"/>
      </w:pPr>
      <w:r w:rsidRPr="005D1247">
        <w:t>Примечание</w:t>
      </w:r>
      <w:r>
        <w:t xml:space="preserve">: </w:t>
      </w:r>
      <w:r w:rsidRPr="005D1247">
        <w:t>1. 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 (футбол, хоккей с шайбой, баскетбол, волейбол, водное поло, гандбол, хоккей с мячом, хоккей на траве, бейсбол, регби).</w:t>
      </w:r>
    </w:p>
    <w:p w:rsidR="00D5503A" w:rsidRPr="005D1247" w:rsidRDefault="00D5503A" w:rsidP="00D5503A">
      <w:pPr>
        <w:pStyle w:val="ConsPlusNormal"/>
        <w:ind w:firstLine="709"/>
        <w:jc w:val="both"/>
      </w:pPr>
      <w:r w:rsidRPr="005D1247">
        <w:t xml:space="preserve">2. На предварительном и заключительном </w:t>
      </w:r>
      <w:proofErr w:type="gramStart"/>
      <w:r w:rsidRPr="005D1247">
        <w:t>этапах</w:t>
      </w:r>
      <w:proofErr w:type="gramEnd"/>
      <w:r w:rsidRPr="005D1247">
        <w:t xml:space="preserve"> соревнований оплата работы главному судье, главному судье-секретарю, заместите</w:t>
      </w:r>
      <w:r w:rsidR="00147561">
        <w:t>лю главного судьи</w:t>
      </w:r>
      <w:r w:rsidR="00147561">
        <w:br/>
      </w:r>
      <w:r w:rsidRPr="005D1247">
        <w:t>и заместителю главного судьи-секретаря мож</w:t>
      </w:r>
      <w:r w:rsidR="00147561">
        <w:t>ет быть увеличена дополнительно</w:t>
      </w:r>
      <w:r w:rsidR="00147561">
        <w:br/>
      </w:r>
      <w:r w:rsidRPr="005D1247">
        <w:t>на 2 дня.</w:t>
      </w:r>
    </w:p>
    <w:p w:rsidR="00D5503A" w:rsidRPr="005D1247" w:rsidRDefault="00D5503A" w:rsidP="00D5503A">
      <w:pPr>
        <w:pStyle w:val="ConsPlusNormal"/>
        <w:ind w:firstLine="709"/>
        <w:jc w:val="both"/>
      </w:pPr>
      <w:r w:rsidRPr="005D1247">
        <w:t>3. Организаторы физкультурных и спо</w:t>
      </w:r>
      <w:r w:rsidR="00147561">
        <w:t>ртивных мероприятий имеют право</w:t>
      </w:r>
      <w:r w:rsidR="00147561">
        <w:br/>
      </w:r>
      <w:r w:rsidRPr="005D1247">
        <w:t>за счет собственных, спонсорских средств, а также заявочных взносов производить доплату к установленному размеру выплаты спортивным судьям.</w:t>
      </w:r>
    </w:p>
    <w:p w:rsidR="00D5503A" w:rsidRPr="00D5503A" w:rsidRDefault="00D5503A" w:rsidP="00D550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503A">
        <w:rPr>
          <w:rFonts w:ascii="Times New Roman" w:hAnsi="Times New Roman" w:cs="Times New Roman"/>
          <w:b w:val="0"/>
          <w:sz w:val="28"/>
          <w:szCs w:val="28"/>
        </w:rPr>
        <w:t>1.2. Нормы расходов на приобретение наградной атрибутики и сувенирной продукции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218BE">
        <w:rPr>
          <w:rFonts w:ascii="Times New Roman" w:hAnsi="Times New Roman" w:cs="Times New Roman"/>
          <w:b w:val="0"/>
          <w:sz w:val="28"/>
          <w:szCs w:val="28"/>
        </w:rPr>
        <w:t xml:space="preserve">медикаментов, канцтоваров, </w:t>
      </w:r>
      <w:r w:rsidR="009942AB">
        <w:rPr>
          <w:rFonts w:ascii="Times New Roman" w:hAnsi="Times New Roman" w:cs="Times New Roman"/>
          <w:b w:val="0"/>
          <w:sz w:val="28"/>
          <w:szCs w:val="28"/>
        </w:rPr>
        <w:t xml:space="preserve">полиграфической и рекламной продукции, </w:t>
      </w:r>
      <w:r w:rsidR="003218BE">
        <w:rPr>
          <w:rFonts w:ascii="Times New Roman" w:hAnsi="Times New Roman" w:cs="Times New Roman"/>
          <w:b w:val="0"/>
          <w:sz w:val="28"/>
          <w:szCs w:val="28"/>
        </w:rPr>
        <w:t>оплату работы обслуживающего персонала:</w:t>
      </w:r>
    </w:p>
    <w:p w:rsidR="00D5503A" w:rsidRPr="001E58E2" w:rsidRDefault="00D5503A" w:rsidP="00D55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031" w:type="dxa"/>
        <w:tblLook w:val="04A0"/>
      </w:tblPr>
      <w:tblGrid>
        <w:gridCol w:w="1082"/>
        <w:gridCol w:w="4098"/>
        <w:gridCol w:w="2106"/>
        <w:gridCol w:w="335"/>
        <w:gridCol w:w="2410"/>
      </w:tblGrid>
      <w:tr w:rsidR="00D5503A" w:rsidRPr="001E58E2" w:rsidTr="00D5503A">
        <w:tc>
          <w:tcPr>
            <w:tcW w:w="1082" w:type="dxa"/>
            <w:vMerge w:val="restart"/>
          </w:tcPr>
          <w:p w:rsidR="00D5503A" w:rsidRPr="00D5503A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0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503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D5503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D5503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8" w:type="dxa"/>
            <w:vMerge w:val="restart"/>
          </w:tcPr>
          <w:p w:rsidR="00D5503A" w:rsidRPr="00D5503A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03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расходов</w:t>
            </w:r>
          </w:p>
        </w:tc>
        <w:tc>
          <w:tcPr>
            <w:tcW w:w="4851" w:type="dxa"/>
            <w:gridSpan w:val="3"/>
          </w:tcPr>
          <w:p w:rsidR="00D5503A" w:rsidRPr="00D5503A" w:rsidRDefault="00D5503A" w:rsidP="006F7E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03A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Нормы расходов на проведение мероприятий, руб</w:t>
            </w:r>
            <w:r w:rsidR="006F7EB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D5503A" w:rsidRPr="001E58E2" w:rsidTr="00D5503A">
        <w:tc>
          <w:tcPr>
            <w:tcW w:w="1082" w:type="dxa"/>
            <w:vMerge/>
          </w:tcPr>
          <w:p w:rsidR="00D5503A" w:rsidRPr="00D5503A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98" w:type="dxa"/>
            <w:vMerge/>
          </w:tcPr>
          <w:p w:rsidR="00D5503A" w:rsidRPr="00D5503A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D5503A" w:rsidRPr="00D5503A" w:rsidRDefault="00D5503A" w:rsidP="00785AF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5503A">
              <w:rPr>
                <w:rFonts w:ascii="Times New Roman" w:hAnsi="Times New Roman"/>
              </w:rPr>
              <w:t>Физкультурные мероприятия</w:t>
            </w:r>
          </w:p>
        </w:tc>
        <w:tc>
          <w:tcPr>
            <w:tcW w:w="2410" w:type="dxa"/>
            <w:vAlign w:val="center"/>
          </w:tcPr>
          <w:p w:rsidR="00D5503A" w:rsidRPr="00D5503A" w:rsidRDefault="00D5503A" w:rsidP="00785AF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5503A">
              <w:rPr>
                <w:rFonts w:ascii="Times New Roman" w:hAnsi="Times New Roman"/>
              </w:rPr>
              <w:t>Спортивные мероприятия</w:t>
            </w:r>
          </w:p>
        </w:tc>
      </w:tr>
      <w:tr w:rsidR="00D5503A" w:rsidRPr="001E58E2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949" w:type="dxa"/>
            <w:gridSpan w:val="4"/>
          </w:tcPr>
          <w:p w:rsidR="00D5503A" w:rsidRPr="003218BE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Наградная атрибутика, сувенирная продукция</w:t>
            </w:r>
          </w:p>
        </w:tc>
      </w:tr>
      <w:tr w:rsidR="003218BE" w:rsidRPr="001E58E2" w:rsidTr="00D5503A">
        <w:tc>
          <w:tcPr>
            <w:tcW w:w="1082" w:type="dxa"/>
            <w:vMerge w:val="restart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4098" w:type="dxa"/>
            <w:vMerge w:val="restart"/>
            <w:vAlign w:val="center"/>
          </w:tcPr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Кубки личные:</w:t>
            </w:r>
          </w:p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1-е место</w:t>
            </w:r>
          </w:p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lastRenderedPageBreak/>
              <w:t>2-е место</w:t>
            </w:r>
          </w:p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3-е место</w:t>
            </w:r>
          </w:p>
        </w:tc>
        <w:tc>
          <w:tcPr>
            <w:tcW w:w="2106" w:type="dxa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218BE" w:rsidRPr="001E58E2" w:rsidTr="00D5503A">
        <w:tc>
          <w:tcPr>
            <w:tcW w:w="1082" w:type="dxa"/>
            <w:vMerge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98" w:type="dxa"/>
            <w:vMerge/>
            <w:vAlign w:val="center"/>
          </w:tcPr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1500</w:t>
            </w:r>
          </w:p>
        </w:tc>
        <w:tc>
          <w:tcPr>
            <w:tcW w:w="2745" w:type="dxa"/>
            <w:gridSpan w:val="2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1700</w:t>
            </w:r>
          </w:p>
        </w:tc>
      </w:tr>
      <w:tr w:rsidR="003218BE" w:rsidRPr="001E58E2" w:rsidTr="00D5503A">
        <w:tc>
          <w:tcPr>
            <w:tcW w:w="1082" w:type="dxa"/>
            <w:vMerge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98" w:type="dxa"/>
            <w:vMerge/>
            <w:vAlign w:val="center"/>
          </w:tcPr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1300</w:t>
            </w:r>
          </w:p>
        </w:tc>
        <w:tc>
          <w:tcPr>
            <w:tcW w:w="2745" w:type="dxa"/>
            <w:gridSpan w:val="2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1500</w:t>
            </w:r>
          </w:p>
        </w:tc>
      </w:tr>
      <w:tr w:rsidR="003218BE" w:rsidRPr="001E58E2" w:rsidTr="00D5503A">
        <w:tc>
          <w:tcPr>
            <w:tcW w:w="1082" w:type="dxa"/>
            <w:vMerge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98" w:type="dxa"/>
            <w:vMerge/>
            <w:vAlign w:val="center"/>
          </w:tcPr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1100</w:t>
            </w:r>
          </w:p>
        </w:tc>
        <w:tc>
          <w:tcPr>
            <w:tcW w:w="2745" w:type="dxa"/>
            <w:gridSpan w:val="2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1300</w:t>
            </w:r>
          </w:p>
        </w:tc>
      </w:tr>
      <w:tr w:rsidR="003218BE" w:rsidRPr="001E58E2" w:rsidTr="00D5503A">
        <w:tc>
          <w:tcPr>
            <w:tcW w:w="1082" w:type="dxa"/>
            <w:vMerge w:val="restart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4098" w:type="dxa"/>
            <w:vMerge w:val="restart"/>
            <w:vAlign w:val="center"/>
          </w:tcPr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Кубки командные:</w:t>
            </w:r>
          </w:p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1-е место</w:t>
            </w:r>
          </w:p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2-е место</w:t>
            </w:r>
          </w:p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3-е место</w:t>
            </w:r>
          </w:p>
        </w:tc>
        <w:tc>
          <w:tcPr>
            <w:tcW w:w="2106" w:type="dxa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45" w:type="dxa"/>
            <w:gridSpan w:val="2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218BE" w:rsidRPr="001E58E2" w:rsidTr="00D5503A">
        <w:tc>
          <w:tcPr>
            <w:tcW w:w="1082" w:type="dxa"/>
            <w:vMerge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98" w:type="dxa"/>
            <w:vMerge/>
            <w:vAlign w:val="center"/>
          </w:tcPr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1700</w:t>
            </w:r>
          </w:p>
        </w:tc>
        <w:tc>
          <w:tcPr>
            <w:tcW w:w="2745" w:type="dxa"/>
            <w:gridSpan w:val="2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2000</w:t>
            </w:r>
          </w:p>
        </w:tc>
      </w:tr>
      <w:tr w:rsidR="003218BE" w:rsidRPr="006407B8" w:rsidTr="00D5503A">
        <w:tc>
          <w:tcPr>
            <w:tcW w:w="1082" w:type="dxa"/>
            <w:vMerge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98" w:type="dxa"/>
            <w:vMerge/>
            <w:vAlign w:val="center"/>
          </w:tcPr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1500</w:t>
            </w:r>
          </w:p>
        </w:tc>
        <w:tc>
          <w:tcPr>
            <w:tcW w:w="2745" w:type="dxa"/>
            <w:gridSpan w:val="2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1800</w:t>
            </w:r>
          </w:p>
        </w:tc>
      </w:tr>
      <w:tr w:rsidR="003218BE" w:rsidRPr="006407B8" w:rsidTr="00D5503A">
        <w:tc>
          <w:tcPr>
            <w:tcW w:w="1082" w:type="dxa"/>
            <w:vMerge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098" w:type="dxa"/>
            <w:vMerge/>
            <w:vAlign w:val="center"/>
          </w:tcPr>
          <w:p w:rsidR="003218BE" w:rsidRPr="003218BE" w:rsidRDefault="003218BE" w:rsidP="00785AF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1300</w:t>
            </w:r>
          </w:p>
        </w:tc>
        <w:tc>
          <w:tcPr>
            <w:tcW w:w="2745" w:type="dxa"/>
            <w:gridSpan w:val="2"/>
          </w:tcPr>
          <w:p w:rsidR="003218BE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1600</w:t>
            </w:r>
          </w:p>
        </w:tc>
      </w:tr>
      <w:tr w:rsidR="00D5503A" w:rsidRPr="006407B8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4098" w:type="dxa"/>
            <w:vAlign w:val="center"/>
          </w:tcPr>
          <w:p w:rsidR="00D5503A" w:rsidRPr="003218BE" w:rsidRDefault="00D5503A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Медали</w:t>
            </w:r>
          </w:p>
        </w:tc>
        <w:tc>
          <w:tcPr>
            <w:tcW w:w="2106" w:type="dxa"/>
          </w:tcPr>
          <w:p w:rsidR="00D5503A" w:rsidRPr="003218BE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150</w:t>
            </w:r>
          </w:p>
        </w:tc>
        <w:tc>
          <w:tcPr>
            <w:tcW w:w="2745" w:type="dxa"/>
            <w:gridSpan w:val="2"/>
          </w:tcPr>
          <w:p w:rsidR="00D5503A" w:rsidRPr="003218BE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200</w:t>
            </w:r>
          </w:p>
        </w:tc>
      </w:tr>
      <w:tr w:rsidR="00D5503A" w:rsidRPr="006407B8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4098" w:type="dxa"/>
            <w:vAlign w:val="center"/>
          </w:tcPr>
          <w:p w:rsidR="00D5503A" w:rsidRPr="003218BE" w:rsidRDefault="00D5503A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Дипломы</w:t>
            </w:r>
          </w:p>
        </w:tc>
        <w:tc>
          <w:tcPr>
            <w:tcW w:w="2106" w:type="dxa"/>
          </w:tcPr>
          <w:p w:rsidR="00D5503A" w:rsidRPr="003218BE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745" w:type="dxa"/>
            <w:gridSpan w:val="2"/>
          </w:tcPr>
          <w:p w:rsidR="00D5503A" w:rsidRPr="003218BE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D5503A" w:rsidRPr="006407B8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4098" w:type="dxa"/>
            <w:vAlign w:val="center"/>
          </w:tcPr>
          <w:p w:rsidR="00D5503A" w:rsidRPr="003218BE" w:rsidRDefault="00D5503A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Сувенирная продукция</w:t>
            </w:r>
          </w:p>
        </w:tc>
        <w:tc>
          <w:tcPr>
            <w:tcW w:w="2106" w:type="dxa"/>
          </w:tcPr>
          <w:p w:rsidR="00D5503A" w:rsidRPr="003218BE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1000</w:t>
            </w:r>
          </w:p>
        </w:tc>
        <w:tc>
          <w:tcPr>
            <w:tcW w:w="2745" w:type="dxa"/>
            <w:gridSpan w:val="2"/>
          </w:tcPr>
          <w:p w:rsidR="00D5503A" w:rsidRPr="003218BE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1300</w:t>
            </w:r>
          </w:p>
        </w:tc>
      </w:tr>
      <w:tr w:rsidR="00D5503A" w:rsidRPr="006407B8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949" w:type="dxa"/>
            <w:gridSpan w:val="4"/>
            <w:vAlign w:val="center"/>
          </w:tcPr>
          <w:p w:rsidR="00D5503A" w:rsidRPr="003218BE" w:rsidRDefault="00D5503A" w:rsidP="009942A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Медикаменты, канцтовары</w:t>
            </w:r>
            <w:r w:rsidR="009942AB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полиграфическая и рекламная продукция</w:t>
            </w: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="009942A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мероприятие</w:t>
            </w: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5503A" w:rsidRPr="006407B8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4098" w:type="dxa"/>
            <w:vAlign w:val="center"/>
          </w:tcPr>
          <w:p w:rsidR="00D5503A" w:rsidRPr="003218BE" w:rsidRDefault="00D5503A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Медикаменты</w:t>
            </w:r>
          </w:p>
        </w:tc>
        <w:tc>
          <w:tcPr>
            <w:tcW w:w="2106" w:type="dxa"/>
          </w:tcPr>
          <w:p w:rsidR="00D5503A" w:rsidRPr="003218BE" w:rsidRDefault="00D5503A" w:rsidP="009942A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 xml:space="preserve">до </w:t>
            </w:r>
            <w:r w:rsidR="009942AB">
              <w:rPr>
                <w:rFonts w:ascii="Times New Roman" w:hAnsi="Times New Roman"/>
              </w:rPr>
              <w:t>1000</w:t>
            </w:r>
          </w:p>
        </w:tc>
        <w:tc>
          <w:tcPr>
            <w:tcW w:w="2745" w:type="dxa"/>
            <w:gridSpan w:val="2"/>
          </w:tcPr>
          <w:p w:rsidR="00D5503A" w:rsidRPr="003218BE" w:rsidRDefault="00D5503A" w:rsidP="009942A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 xml:space="preserve">до </w:t>
            </w:r>
            <w:r w:rsidR="009942AB">
              <w:rPr>
                <w:rFonts w:ascii="Times New Roman" w:hAnsi="Times New Roman"/>
              </w:rPr>
              <w:t>1000</w:t>
            </w:r>
          </w:p>
        </w:tc>
      </w:tr>
      <w:tr w:rsidR="00D5503A" w:rsidRPr="006407B8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98" w:type="dxa"/>
            <w:vAlign w:val="center"/>
          </w:tcPr>
          <w:p w:rsidR="00D5503A" w:rsidRPr="003218BE" w:rsidRDefault="00D5503A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Канцтовары</w:t>
            </w:r>
          </w:p>
        </w:tc>
        <w:tc>
          <w:tcPr>
            <w:tcW w:w="2106" w:type="dxa"/>
          </w:tcPr>
          <w:p w:rsidR="00D5503A" w:rsidRPr="003218BE" w:rsidRDefault="00D5503A" w:rsidP="009942A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 xml:space="preserve">до </w:t>
            </w:r>
            <w:r w:rsidR="009942AB">
              <w:rPr>
                <w:rFonts w:ascii="Times New Roman" w:hAnsi="Times New Roman"/>
              </w:rPr>
              <w:t>1000</w:t>
            </w:r>
          </w:p>
        </w:tc>
        <w:tc>
          <w:tcPr>
            <w:tcW w:w="2745" w:type="dxa"/>
            <w:gridSpan w:val="2"/>
          </w:tcPr>
          <w:p w:rsidR="00D5503A" w:rsidRPr="003218BE" w:rsidRDefault="00D5503A" w:rsidP="009942A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 xml:space="preserve">до </w:t>
            </w:r>
            <w:r w:rsidR="009942AB">
              <w:rPr>
                <w:rFonts w:ascii="Times New Roman" w:hAnsi="Times New Roman"/>
              </w:rPr>
              <w:t>1000</w:t>
            </w:r>
          </w:p>
        </w:tc>
      </w:tr>
      <w:tr w:rsidR="009942AB" w:rsidRPr="006407B8" w:rsidTr="00D5503A">
        <w:tc>
          <w:tcPr>
            <w:tcW w:w="1082" w:type="dxa"/>
          </w:tcPr>
          <w:p w:rsidR="009942AB" w:rsidRPr="003218BE" w:rsidRDefault="009942AB" w:rsidP="00785A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98" w:type="dxa"/>
            <w:vAlign w:val="center"/>
          </w:tcPr>
          <w:p w:rsidR="009942AB" w:rsidRPr="009942AB" w:rsidRDefault="009942AB" w:rsidP="00785AFF">
            <w:pPr>
              <w:pStyle w:val="ConsPlusNormal"/>
            </w:pPr>
            <w:r>
              <w:rPr>
                <w:rFonts w:ascii="Times New Roman" w:hAnsi="Times New Roman"/>
              </w:rPr>
              <w:t>П</w:t>
            </w:r>
            <w:r w:rsidRPr="009942AB">
              <w:rPr>
                <w:rFonts w:ascii="Times New Roman" w:hAnsi="Times New Roman"/>
              </w:rPr>
              <w:t>олиграфическая и рекламная продукция</w:t>
            </w:r>
          </w:p>
        </w:tc>
        <w:tc>
          <w:tcPr>
            <w:tcW w:w="2106" w:type="dxa"/>
          </w:tcPr>
          <w:p w:rsidR="009942AB" w:rsidRPr="009942AB" w:rsidRDefault="009942AB" w:rsidP="009942A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942A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5000</w:t>
            </w:r>
          </w:p>
        </w:tc>
        <w:tc>
          <w:tcPr>
            <w:tcW w:w="2745" w:type="dxa"/>
            <w:gridSpan w:val="2"/>
          </w:tcPr>
          <w:p w:rsidR="009942AB" w:rsidRPr="009942AB" w:rsidRDefault="009942AB" w:rsidP="009942A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942A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5000</w:t>
            </w:r>
          </w:p>
        </w:tc>
      </w:tr>
      <w:tr w:rsidR="00D5503A" w:rsidRPr="006407B8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8949" w:type="dxa"/>
            <w:gridSpan w:val="4"/>
          </w:tcPr>
          <w:p w:rsidR="00D5503A" w:rsidRPr="003218BE" w:rsidRDefault="00D5503A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Оплата работы обслуживающего персонала (в час)</w:t>
            </w:r>
          </w:p>
        </w:tc>
      </w:tr>
      <w:tr w:rsidR="00D5503A" w:rsidRPr="006407B8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4098" w:type="dxa"/>
            <w:vAlign w:val="center"/>
          </w:tcPr>
          <w:p w:rsidR="00D5503A" w:rsidRPr="003218BE" w:rsidRDefault="00D5503A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Врач</w:t>
            </w:r>
          </w:p>
        </w:tc>
        <w:tc>
          <w:tcPr>
            <w:tcW w:w="2106" w:type="dxa"/>
            <w:vAlign w:val="center"/>
          </w:tcPr>
          <w:p w:rsidR="00D5503A" w:rsidRPr="003218BE" w:rsidRDefault="00D5503A" w:rsidP="00785AF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 xml:space="preserve">до 300 </w:t>
            </w:r>
          </w:p>
        </w:tc>
        <w:tc>
          <w:tcPr>
            <w:tcW w:w="2745" w:type="dxa"/>
            <w:gridSpan w:val="2"/>
            <w:vAlign w:val="center"/>
          </w:tcPr>
          <w:p w:rsidR="00D5503A" w:rsidRPr="003218BE" w:rsidRDefault="00D5503A" w:rsidP="00785AF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до 300</w:t>
            </w:r>
          </w:p>
        </w:tc>
      </w:tr>
      <w:tr w:rsidR="00D5503A" w:rsidRPr="006407B8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3.2</w:t>
            </w:r>
          </w:p>
        </w:tc>
        <w:tc>
          <w:tcPr>
            <w:tcW w:w="4098" w:type="dxa"/>
            <w:vAlign w:val="center"/>
          </w:tcPr>
          <w:p w:rsidR="00D5503A" w:rsidRPr="003218BE" w:rsidRDefault="00D5503A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Фельдшер, медсестра</w:t>
            </w:r>
          </w:p>
        </w:tc>
        <w:tc>
          <w:tcPr>
            <w:tcW w:w="2106" w:type="dxa"/>
            <w:vAlign w:val="center"/>
          </w:tcPr>
          <w:p w:rsidR="00D5503A" w:rsidRPr="003218BE" w:rsidRDefault="00D5503A" w:rsidP="00785AF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 xml:space="preserve">до 200 </w:t>
            </w:r>
          </w:p>
        </w:tc>
        <w:tc>
          <w:tcPr>
            <w:tcW w:w="2745" w:type="dxa"/>
            <w:gridSpan w:val="2"/>
            <w:vAlign w:val="center"/>
          </w:tcPr>
          <w:p w:rsidR="00D5503A" w:rsidRPr="003218BE" w:rsidRDefault="00D5503A" w:rsidP="00785AF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до 200</w:t>
            </w:r>
          </w:p>
        </w:tc>
      </w:tr>
      <w:tr w:rsidR="00D5503A" w:rsidRPr="006407B8" w:rsidTr="00D5503A">
        <w:tc>
          <w:tcPr>
            <w:tcW w:w="1082" w:type="dxa"/>
          </w:tcPr>
          <w:p w:rsidR="00D5503A" w:rsidRPr="003218BE" w:rsidRDefault="003218BE" w:rsidP="00785A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18BE">
              <w:rPr>
                <w:rFonts w:ascii="Times New Roman" w:hAnsi="Times New Roman" w:cs="Times New Roman"/>
                <w:b w:val="0"/>
                <w:sz w:val="28"/>
                <w:szCs w:val="28"/>
              </w:rPr>
              <w:t>3.3</w:t>
            </w:r>
          </w:p>
        </w:tc>
        <w:tc>
          <w:tcPr>
            <w:tcW w:w="4098" w:type="dxa"/>
            <w:vAlign w:val="center"/>
          </w:tcPr>
          <w:p w:rsidR="00D5503A" w:rsidRPr="003218BE" w:rsidRDefault="00D5503A" w:rsidP="00785AFF">
            <w:pPr>
              <w:pStyle w:val="ConsPlusNormal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Радист, рабочий, иной обслуживающий персонал</w:t>
            </w:r>
          </w:p>
        </w:tc>
        <w:tc>
          <w:tcPr>
            <w:tcW w:w="2106" w:type="dxa"/>
            <w:vAlign w:val="center"/>
          </w:tcPr>
          <w:p w:rsidR="00D5503A" w:rsidRPr="003218BE" w:rsidRDefault="00D5503A" w:rsidP="00785AF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до 250</w:t>
            </w:r>
          </w:p>
        </w:tc>
        <w:tc>
          <w:tcPr>
            <w:tcW w:w="2745" w:type="dxa"/>
            <w:gridSpan w:val="2"/>
            <w:vAlign w:val="center"/>
          </w:tcPr>
          <w:p w:rsidR="00D5503A" w:rsidRPr="003218BE" w:rsidRDefault="00D5503A" w:rsidP="00785AF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218BE">
              <w:rPr>
                <w:rFonts w:ascii="Times New Roman" w:hAnsi="Times New Roman"/>
              </w:rPr>
              <w:t>до 250</w:t>
            </w:r>
          </w:p>
        </w:tc>
      </w:tr>
    </w:tbl>
    <w:p w:rsidR="00D5503A" w:rsidRPr="006407B8" w:rsidRDefault="00D5503A" w:rsidP="00D55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03A" w:rsidRDefault="006F7EB5" w:rsidP="006F7EB5">
      <w:pPr>
        <w:pStyle w:val="ConsPlusNormal"/>
        <w:ind w:firstLine="540"/>
        <w:jc w:val="both"/>
      </w:pPr>
      <w:r>
        <w:t>1.3. Нормы расходов средств бюджета города Перми на оплату услуг</w:t>
      </w:r>
      <w:r>
        <w:br/>
        <w:t>по обеспечению транспортными средствами участников физкультурных</w:t>
      </w:r>
      <w:r>
        <w:br/>
        <w:t>и спортивных мероприятий: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6764"/>
        <w:gridCol w:w="2619"/>
      </w:tblGrid>
      <w:tr w:rsidR="006F7EB5" w:rsidRPr="005D1247" w:rsidTr="006F7E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6F7EB5" w:rsidRDefault="006F7EB5" w:rsidP="00785AFF">
            <w:pPr>
              <w:pStyle w:val="ConsPlusNormal"/>
              <w:jc w:val="center"/>
            </w:pPr>
            <w:r>
              <w:t>№</w:t>
            </w:r>
            <w:r w:rsidRPr="006F7EB5">
              <w:t xml:space="preserve"> </w:t>
            </w:r>
            <w:proofErr w:type="spellStart"/>
            <w:proofErr w:type="gramStart"/>
            <w:r w:rsidRPr="006F7EB5">
              <w:t>п</w:t>
            </w:r>
            <w:proofErr w:type="spellEnd"/>
            <w:proofErr w:type="gramEnd"/>
            <w:r w:rsidRPr="006F7EB5">
              <w:t>/</w:t>
            </w:r>
            <w:proofErr w:type="spellStart"/>
            <w:r w:rsidRPr="006F7EB5">
              <w:t>п</w:t>
            </w:r>
            <w:proofErr w:type="spell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6F7EB5" w:rsidRDefault="006F7EB5" w:rsidP="00785AFF">
            <w:pPr>
              <w:pStyle w:val="ConsPlusNormal"/>
              <w:jc w:val="center"/>
            </w:pPr>
            <w:r w:rsidRPr="006F7EB5">
              <w:t>Наименование транспортного средства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6F7EB5" w:rsidRDefault="006F7EB5" w:rsidP="006F7EB5">
            <w:pPr>
              <w:pStyle w:val="ConsPlusNormal"/>
              <w:jc w:val="center"/>
            </w:pPr>
            <w:r w:rsidRPr="006F7EB5">
              <w:t>Стоимость услуг в час</w:t>
            </w:r>
            <w:r>
              <w:t xml:space="preserve">, </w:t>
            </w:r>
            <w:r w:rsidRPr="006F7EB5">
              <w:t>руб.</w:t>
            </w:r>
          </w:p>
        </w:tc>
      </w:tr>
      <w:tr w:rsidR="006F7EB5" w:rsidRPr="005D1247" w:rsidTr="006F7E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6F7EB5">
            <w:pPr>
              <w:pStyle w:val="ConsPlusNormal"/>
              <w:jc w:val="center"/>
            </w:pPr>
            <w:r w:rsidRPr="006F7EB5">
              <w:t>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</w:pPr>
            <w:r w:rsidRPr="006F7EB5">
              <w:t>Автобус от 40 до 50 посадочных мест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  <w:jc w:val="center"/>
            </w:pPr>
            <w:r w:rsidRPr="006F7EB5">
              <w:t>до 1700</w:t>
            </w:r>
          </w:p>
        </w:tc>
      </w:tr>
      <w:tr w:rsidR="006F7EB5" w:rsidRPr="005D1247" w:rsidTr="006F7E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6F7EB5" w:rsidRDefault="006F7EB5" w:rsidP="006F7EB5">
            <w:pPr>
              <w:pStyle w:val="ConsPlusNormal"/>
              <w:jc w:val="center"/>
            </w:pPr>
            <w:r w:rsidRPr="006F7EB5">
              <w:t>2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5" w:rsidRPr="006F7EB5" w:rsidRDefault="006F7EB5" w:rsidP="00785AFF">
            <w:pPr>
              <w:pStyle w:val="ConsPlusNormal"/>
              <w:jc w:val="both"/>
            </w:pPr>
            <w:r w:rsidRPr="006F7EB5">
              <w:t>Автобус менее 40 посадочных мест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  <w:jc w:val="center"/>
            </w:pPr>
            <w:r w:rsidRPr="006F7EB5">
              <w:t>до 1200</w:t>
            </w:r>
          </w:p>
        </w:tc>
      </w:tr>
      <w:tr w:rsidR="006F7EB5" w:rsidRPr="005D1247" w:rsidTr="006F7EB5">
        <w:trPr>
          <w:trHeight w:val="1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6F7EB5">
            <w:pPr>
              <w:pStyle w:val="ConsPlusNormal"/>
              <w:jc w:val="center"/>
            </w:pPr>
            <w:r w:rsidRPr="006F7EB5">
              <w:t>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</w:pPr>
            <w:r w:rsidRPr="006F7EB5">
              <w:t>Микроавтобус (пассажирский) от 8 до 20 посадочных мест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  <w:jc w:val="center"/>
            </w:pPr>
            <w:r w:rsidRPr="006F7EB5">
              <w:t>до 550</w:t>
            </w:r>
          </w:p>
        </w:tc>
      </w:tr>
      <w:tr w:rsidR="006F7EB5" w:rsidRPr="005D1247" w:rsidTr="006F7EB5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6F7EB5">
            <w:pPr>
              <w:pStyle w:val="ConsPlusNormal"/>
              <w:jc w:val="center"/>
            </w:pPr>
            <w:r w:rsidRPr="006F7EB5">
              <w:t>4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</w:pPr>
            <w:r w:rsidRPr="006F7EB5">
              <w:t>Грузовой автотранспорт (грузоподъемность до 1,5 тонны)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  <w:jc w:val="center"/>
            </w:pPr>
            <w:r w:rsidRPr="006F7EB5">
              <w:t>до 500</w:t>
            </w:r>
          </w:p>
        </w:tc>
      </w:tr>
      <w:tr w:rsidR="006F7EB5" w:rsidRPr="005D1247" w:rsidTr="006F7EB5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6F7EB5">
            <w:pPr>
              <w:pStyle w:val="ConsPlusNormal"/>
              <w:jc w:val="center"/>
            </w:pPr>
            <w:r w:rsidRPr="006F7EB5">
              <w:t>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</w:pPr>
            <w:r w:rsidRPr="006F7EB5">
              <w:t>Грузовой автотранспорт (грузоподъемность от 1,5 до 3,5 тонны)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  <w:jc w:val="center"/>
            </w:pPr>
            <w:r w:rsidRPr="006F7EB5">
              <w:t>до 600</w:t>
            </w:r>
          </w:p>
        </w:tc>
      </w:tr>
      <w:tr w:rsidR="006F7EB5" w:rsidRPr="005D1247" w:rsidTr="006F7E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6F7EB5">
            <w:pPr>
              <w:pStyle w:val="ConsPlusNormal"/>
              <w:jc w:val="center"/>
            </w:pPr>
            <w:r w:rsidRPr="006F7EB5">
              <w:t>6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</w:pPr>
            <w:r w:rsidRPr="006F7EB5">
              <w:t>Снегоход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B5" w:rsidRPr="006F7EB5" w:rsidRDefault="006F7EB5" w:rsidP="00785AFF">
            <w:pPr>
              <w:pStyle w:val="ConsPlusNormal"/>
              <w:jc w:val="center"/>
            </w:pPr>
            <w:r w:rsidRPr="006F7EB5">
              <w:t>до 500</w:t>
            </w:r>
          </w:p>
        </w:tc>
      </w:tr>
    </w:tbl>
    <w:p w:rsidR="006F7EB5" w:rsidRDefault="006F7EB5" w:rsidP="006F7EB5">
      <w:pPr>
        <w:pStyle w:val="ConsPlusNormal"/>
        <w:ind w:firstLine="540"/>
      </w:pPr>
    </w:p>
    <w:p w:rsidR="006F7EB5" w:rsidRPr="005D1247" w:rsidRDefault="006F7EB5" w:rsidP="006F7EB5">
      <w:pPr>
        <w:pStyle w:val="ConsPlusNormal"/>
        <w:ind w:firstLine="540"/>
      </w:pPr>
      <w:r w:rsidRPr="005D1247">
        <w:t>Примечание:</w:t>
      </w:r>
    </w:p>
    <w:p w:rsidR="006F7EB5" w:rsidRPr="005D1247" w:rsidRDefault="006F7EB5" w:rsidP="006F7EB5">
      <w:pPr>
        <w:pStyle w:val="ConsPlusNormal"/>
        <w:ind w:firstLine="539"/>
        <w:jc w:val="both"/>
        <w:rPr>
          <w:b/>
        </w:rPr>
      </w:pPr>
      <w:r w:rsidRPr="005D1247">
        <w:t>Расходы на оплату услуг по предоставлению транспортных сре</w:t>
      </w:r>
      <w:proofErr w:type="gramStart"/>
      <w:r w:rsidRPr="005D1247">
        <w:t>дств пр</w:t>
      </w:r>
      <w:proofErr w:type="gramEnd"/>
      <w:r w:rsidRPr="005D1247">
        <w:t>оизводятся исходя из расчета не более 10 часов в день</w:t>
      </w:r>
      <w:r>
        <w:t>.</w:t>
      </w:r>
    </w:p>
    <w:p w:rsidR="006F7EB5" w:rsidRDefault="006F7EB5" w:rsidP="006F7EB5">
      <w:pPr>
        <w:pStyle w:val="ConsPlusNormal"/>
        <w:spacing w:before="240"/>
        <w:ind w:firstLine="540"/>
        <w:jc w:val="both"/>
      </w:pPr>
    </w:p>
    <w:p w:rsidR="00D5503A" w:rsidRPr="00D5503A" w:rsidRDefault="006F7EB5" w:rsidP="00705F1F">
      <w:pPr>
        <w:pStyle w:val="ConsPlusNormal"/>
        <w:ind w:firstLine="540"/>
        <w:jc w:val="both"/>
      </w:pPr>
      <w:r>
        <w:t xml:space="preserve">1.4. </w:t>
      </w:r>
      <w:r w:rsidRPr="006F7EB5">
        <w:t>Нормы расходов средств бюджета города Перми на оплату услуг</w:t>
      </w:r>
      <w:r>
        <w:br/>
      </w:r>
      <w:r w:rsidRPr="006F7EB5">
        <w:t xml:space="preserve">по обеспечению безопасности в </w:t>
      </w:r>
      <w:proofErr w:type="gramStart"/>
      <w:r w:rsidRPr="006F7EB5">
        <w:t>местах</w:t>
      </w:r>
      <w:proofErr w:type="gramEnd"/>
      <w:r w:rsidRPr="006F7EB5">
        <w:t xml:space="preserve"> проведения физкультурных и спортивных мероприятий</w:t>
      </w:r>
      <w: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6021"/>
      </w:tblGrid>
      <w:tr w:rsidR="006F7EB5" w:rsidRPr="005D1247" w:rsidTr="006F7EB5">
        <w:tc>
          <w:tcPr>
            <w:tcW w:w="3969" w:type="dxa"/>
          </w:tcPr>
          <w:p w:rsidR="006F7EB5" w:rsidRPr="005D1247" w:rsidRDefault="006F7EB5" w:rsidP="00785AFF">
            <w:pPr>
              <w:pStyle w:val="ConsPlusNormal"/>
              <w:jc w:val="center"/>
            </w:pPr>
            <w:r w:rsidRPr="005D1247">
              <w:t>Место проведения</w:t>
            </w:r>
          </w:p>
        </w:tc>
        <w:tc>
          <w:tcPr>
            <w:tcW w:w="6021" w:type="dxa"/>
          </w:tcPr>
          <w:p w:rsidR="006F7EB5" w:rsidRPr="005D1247" w:rsidRDefault="006F7EB5" w:rsidP="00785AFF">
            <w:pPr>
              <w:pStyle w:val="ConsPlusNormal"/>
              <w:jc w:val="center"/>
            </w:pPr>
            <w:r w:rsidRPr="005D1247">
              <w:t xml:space="preserve">Стоимость услуг в час одного сотрудника охранного </w:t>
            </w:r>
            <w:r w:rsidRPr="006F7EB5">
              <w:t>предприятия, руб.</w:t>
            </w:r>
          </w:p>
        </w:tc>
      </w:tr>
      <w:tr w:rsidR="006F7EB5" w:rsidRPr="005D1247" w:rsidTr="006F7EB5">
        <w:tc>
          <w:tcPr>
            <w:tcW w:w="3969" w:type="dxa"/>
          </w:tcPr>
          <w:p w:rsidR="006F7EB5" w:rsidRPr="005D1247" w:rsidRDefault="006F7EB5" w:rsidP="00785AFF">
            <w:pPr>
              <w:pStyle w:val="ConsPlusNormal"/>
              <w:jc w:val="center"/>
            </w:pPr>
            <w:r w:rsidRPr="005D1247">
              <w:t>На территории Пермского края</w:t>
            </w:r>
          </w:p>
        </w:tc>
        <w:tc>
          <w:tcPr>
            <w:tcW w:w="6021" w:type="dxa"/>
            <w:vAlign w:val="center"/>
          </w:tcPr>
          <w:p w:rsidR="006F7EB5" w:rsidRPr="005D1247" w:rsidRDefault="006F7EB5" w:rsidP="00785AFF">
            <w:pPr>
              <w:pStyle w:val="ConsPlusNormal"/>
              <w:jc w:val="center"/>
            </w:pPr>
            <w:r w:rsidRPr="005D1247">
              <w:t>Не более 350,0</w:t>
            </w:r>
          </w:p>
        </w:tc>
      </w:tr>
    </w:tbl>
    <w:p w:rsidR="006F7EB5" w:rsidRPr="005D1247" w:rsidRDefault="006F7EB5" w:rsidP="006F7EB5">
      <w:pPr>
        <w:pStyle w:val="ConsPlusNormal"/>
        <w:jc w:val="both"/>
      </w:pPr>
    </w:p>
    <w:p w:rsidR="006F7EB5" w:rsidRPr="005D1247" w:rsidRDefault="006F7EB5" w:rsidP="006F7EB5">
      <w:pPr>
        <w:pStyle w:val="ConsPlusNormal"/>
        <w:ind w:firstLine="540"/>
        <w:jc w:val="both"/>
      </w:pPr>
      <w:r w:rsidRPr="005D1247">
        <w:t>Примечание:</w:t>
      </w:r>
    </w:p>
    <w:p w:rsidR="006F7EB5" w:rsidRDefault="006F7EB5" w:rsidP="006F7EB5">
      <w:pPr>
        <w:pStyle w:val="ConsPlusNormal"/>
        <w:ind w:firstLine="540"/>
        <w:jc w:val="both"/>
      </w:pPr>
      <w:r w:rsidRPr="005D1247">
        <w:t>Расходы на оплату услуг производятся исходя из расчета не более 10 часов</w:t>
      </w:r>
      <w:r>
        <w:br/>
      </w:r>
      <w:r w:rsidRPr="005D1247">
        <w:t>в день.</w:t>
      </w:r>
    </w:p>
    <w:p w:rsidR="006F7EB5" w:rsidRDefault="006F7EB5" w:rsidP="006F7EB5">
      <w:pPr>
        <w:pStyle w:val="ConsPlusNormal"/>
        <w:ind w:firstLine="540"/>
        <w:jc w:val="both"/>
      </w:pPr>
      <w:r>
        <w:t xml:space="preserve">1.5. Нормы расходов </w:t>
      </w:r>
      <w:r w:rsidRPr="006F7EB5">
        <w:t>средств бюджета города Перми на</w:t>
      </w:r>
      <w:r>
        <w:t xml:space="preserve"> </w:t>
      </w:r>
      <w:r w:rsidR="00C075B7">
        <w:t xml:space="preserve">оплату </w:t>
      </w:r>
      <w:r w:rsidR="00C075B7" w:rsidRPr="00B81FA9">
        <w:t>услуг выездной бригады скорой медицинской помощи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6021"/>
      </w:tblGrid>
      <w:tr w:rsidR="00C075B7" w:rsidRPr="005D1247" w:rsidTr="00785AFF">
        <w:tc>
          <w:tcPr>
            <w:tcW w:w="3969" w:type="dxa"/>
          </w:tcPr>
          <w:p w:rsidR="00C075B7" w:rsidRPr="005D1247" w:rsidRDefault="00C075B7" w:rsidP="00785AFF">
            <w:pPr>
              <w:pStyle w:val="ConsPlusNormal"/>
              <w:jc w:val="center"/>
            </w:pPr>
            <w:r w:rsidRPr="005D1247">
              <w:t>Место проведения</w:t>
            </w:r>
          </w:p>
        </w:tc>
        <w:tc>
          <w:tcPr>
            <w:tcW w:w="6021" w:type="dxa"/>
          </w:tcPr>
          <w:p w:rsidR="00C075B7" w:rsidRPr="005D1247" w:rsidRDefault="00C075B7" w:rsidP="00C075B7">
            <w:pPr>
              <w:pStyle w:val="ConsPlusNormal"/>
              <w:jc w:val="center"/>
            </w:pPr>
            <w:r w:rsidRPr="005D1247">
              <w:t>Стоимость услуг в час одно</w:t>
            </w:r>
            <w:r>
              <w:t>й</w:t>
            </w:r>
            <w:r w:rsidRPr="005D1247">
              <w:t xml:space="preserve"> </w:t>
            </w:r>
            <w:r w:rsidRPr="00B81FA9">
              <w:t>выездной бригады скорой медицинской помощи</w:t>
            </w:r>
            <w:r w:rsidRPr="006F7EB5">
              <w:t>, руб.</w:t>
            </w:r>
          </w:p>
        </w:tc>
      </w:tr>
      <w:tr w:rsidR="00C075B7" w:rsidRPr="005D1247" w:rsidTr="00785AFF">
        <w:tc>
          <w:tcPr>
            <w:tcW w:w="3969" w:type="dxa"/>
          </w:tcPr>
          <w:p w:rsidR="00C075B7" w:rsidRPr="005D1247" w:rsidRDefault="00C075B7" w:rsidP="00785AFF">
            <w:pPr>
              <w:pStyle w:val="ConsPlusNormal"/>
              <w:jc w:val="center"/>
            </w:pPr>
            <w:r w:rsidRPr="005D1247">
              <w:t>На территории Пермского края</w:t>
            </w:r>
          </w:p>
        </w:tc>
        <w:tc>
          <w:tcPr>
            <w:tcW w:w="6021" w:type="dxa"/>
            <w:vAlign w:val="center"/>
          </w:tcPr>
          <w:p w:rsidR="00C075B7" w:rsidRPr="005D1247" w:rsidRDefault="00C075B7" w:rsidP="00C075B7">
            <w:pPr>
              <w:pStyle w:val="ConsPlusNormal"/>
              <w:jc w:val="center"/>
            </w:pPr>
            <w:r w:rsidRPr="005D1247">
              <w:t xml:space="preserve">Не более </w:t>
            </w:r>
            <w:r>
              <w:t>3</w:t>
            </w:r>
            <w:r w:rsidR="009942AB">
              <w:t>000,0</w:t>
            </w:r>
          </w:p>
        </w:tc>
      </w:tr>
    </w:tbl>
    <w:p w:rsidR="006F7EB5" w:rsidRDefault="006F7EB5" w:rsidP="006F7EB5">
      <w:pPr>
        <w:pStyle w:val="ConsPlusNormal"/>
        <w:ind w:firstLine="539"/>
        <w:jc w:val="center"/>
        <w:rPr>
          <w:b/>
        </w:rPr>
      </w:pPr>
    </w:p>
    <w:p w:rsidR="006F7EB5" w:rsidRPr="005D1247" w:rsidRDefault="006F7EB5" w:rsidP="006F7EB5">
      <w:pPr>
        <w:pStyle w:val="ConsPlusNormal"/>
        <w:ind w:firstLine="539"/>
        <w:jc w:val="center"/>
        <w:rPr>
          <w:b/>
        </w:rPr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Default="00D5503A" w:rsidP="00705F1F">
      <w:pPr>
        <w:pStyle w:val="ConsPlusNormal"/>
        <w:ind w:firstLine="540"/>
        <w:jc w:val="both"/>
      </w:pPr>
    </w:p>
    <w:p w:rsidR="00D5503A" w:rsidRPr="00ED3B41" w:rsidRDefault="00D5503A" w:rsidP="00705F1F">
      <w:pPr>
        <w:pStyle w:val="ConsPlusNormal"/>
        <w:ind w:firstLine="540"/>
        <w:jc w:val="both"/>
      </w:pPr>
    </w:p>
    <w:p w:rsidR="00705F1F" w:rsidRPr="00ED3B41" w:rsidRDefault="00705F1F" w:rsidP="00705F1F">
      <w:pPr>
        <w:pStyle w:val="ConsPlusNormal"/>
        <w:spacing w:before="220"/>
        <w:ind w:firstLine="540"/>
        <w:jc w:val="both"/>
      </w:pPr>
    </w:p>
    <w:p w:rsidR="00A26578" w:rsidRDefault="00A26578" w:rsidP="00082BBB">
      <w:pPr>
        <w:jc w:val="both"/>
        <w:rPr>
          <w:sz w:val="28"/>
          <w:szCs w:val="28"/>
        </w:rPr>
      </w:pPr>
    </w:p>
    <w:sectPr w:rsidR="00A26578" w:rsidSect="003E1DBF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0E" w:rsidRDefault="007A5B0E">
      <w:r>
        <w:separator/>
      </w:r>
    </w:p>
  </w:endnote>
  <w:endnote w:type="continuationSeparator" w:id="0">
    <w:p w:rsidR="007A5B0E" w:rsidRDefault="007A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0E" w:rsidRDefault="007A5B0E">
      <w:r>
        <w:separator/>
      </w:r>
    </w:p>
  </w:footnote>
  <w:footnote w:type="continuationSeparator" w:id="0">
    <w:p w:rsidR="007A5B0E" w:rsidRDefault="007A5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F4116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F4116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00859">
      <w:rPr>
        <w:noProof/>
        <w:sz w:val="28"/>
        <w:szCs w:val="28"/>
      </w:rPr>
      <w:t>10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6D49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47561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18BE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336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6F7EB5"/>
    <w:rsid w:val="00704BC3"/>
    <w:rsid w:val="00705F1F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0E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859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42AB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6578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5B7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1C4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503A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140C3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1164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164"/>
  </w:style>
  <w:style w:type="paragraph" w:styleId="1">
    <w:name w:val="heading 1"/>
    <w:basedOn w:val="a"/>
    <w:next w:val="a"/>
    <w:qFormat/>
    <w:rsid w:val="00F4116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4116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116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4116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4116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4116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41164"/>
  </w:style>
  <w:style w:type="paragraph" w:styleId="aa">
    <w:name w:val="header"/>
    <w:basedOn w:val="a"/>
    <w:link w:val="ab"/>
    <w:uiPriority w:val="99"/>
    <w:rsid w:val="00F4116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2657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5503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7236BB862FA11FD67C0853F651B642107D6162E8147D44A03E893BB2430E1521997165A0025B996D2A07993E209FAF381D32270B9A52B96FJ5L1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571E7A7972A4940523FF036559752918B30C0E3B2006F8E87CDEB0896BEF61BAE88E557806896C57219BA49D8014F7DA3D7EEAE0475F52DY6N2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71E7A7972A4940523FF036559752918937C4EBB7066F8E87CDEB0896BEF61BBC88BD5B826088C5780CEC189DY5ND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571E7A7972A4940523FF036559752918937C5E2B2026F8E87CDEB0896BEF61BBC88BD5B826088C5780CEC189DY5N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A27657062A421A0B4B865981907419F349AF6EEBCA4B36836CAC96360FD336D58D1E2C75F20064D5C4266199B9C40A94DC92C1AC85323972DFDE6T1H0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E3B1-4BB7-4A36-BB62-515869CF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9</cp:revision>
  <cp:lastPrinted>2019-12-19T14:55:00Z</cp:lastPrinted>
  <dcterms:created xsi:type="dcterms:W3CDTF">2019-12-19T14:45:00Z</dcterms:created>
  <dcterms:modified xsi:type="dcterms:W3CDTF">2019-12-19T15:38:00Z</dcterms:modified>
</cp:coreProperties>
</file>