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2" w:rsidRPr="00E10F52" w:rsidRDefault="00C931C5" w:rsidP="0038069C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1AB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E10F52" w:rsidRPr="00E10F52" w:rsidRDefault="00E10F52" w:rsidP="0038069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E10F52">
        <w:rPr>
          <w:rFonts w:ascii="Times New Roman" w:hAnsi="Times New Roman" w:cs="Times New Roman"/>
          <w:sz w:val="28"/>
          <w:szCs w:val="28"/>
        </w:rPr>
        <w:t>к решению</w:t>
      </w:r>
    </w:p>
    <w:p w:rsidR="00E10F52" w:rsidRDefault="00E10F52" w:rsidP="0038069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04460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A061C8" w:rsidRPr="00044606" w:rsidRDefault="00A061C8" w:rsidP="0038069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17.12.2019 № </w:t>
      </w:r>
      <w:r w:rsidR="0038069C">
        <w:rPr>
          <w:rFonts w:ascii="Times New Roman" w:hAnsi="Times New Roman" w:cs="Times New Roman"/>
          <w:sz w:val="28"/>
          <w:szCs w:val="28"/>
        </w:rPr>
        <w:t>303</w:t>
      </w:r>
    </w:p>
    <w:p w:rsidR="00E10F52" w:rsidRPr="00044606" w:rsidRDefault="00E10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606" w:rsidRPr="00A061C8" w:rsidRDefault="00044606" w:rsidP="00044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1C8">
        <w:rPr>
          <w:rFonts w:ascii="Times New Roman" w:hAnsi="Times New Roman" w:cs="Times New Roman"/>
          <w:sz w:val="28"/>
          <w:szCs w:val="28"/>
        </w:rPr>
        <w:t>Случаи</w:t>
      </w:r>
      <w:r w:rsidR="00A061C8">
        <w:rPr>
          <w:rFonts w:ascii="Times New Roman" w:hAnsi="Times New Roman" w:cs="Times New Roman"/>
          <w:sz w:val="28"/>
          <w:szCs w:val="28"/>
        </w:rPr>
        <w:t xml:space="preserve"> </w:t>
      </w:r>
      <w:r w:rsidRPr="00A061C8">
        <w:rPr>
          <w:rFonts w:ascii="Times New Roman" w:hAnsi="Times New Roman" w:cs="Times New Roman"/>
          <w:sz w:val="28"/>
          <w:szCs w:val="28"/>
        </w:rPr>
        <w:t>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 некоммерческим организациям</w:t>
      </w:r>
    </w:p>
    <w:p w:rsidR="00E10F52" w:rsidRPr="00E10F52" w:rsidRDefault="00E10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139"/>
      </w:tblGrid>
      <w:tr w:rsidR="00E10F52" w:rsidRPr="00EE1AB3" w:rsidTr="004969C0">
        <w:trPr>
          <w:tblHeader/>
        </w:trPr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6715BD" w:rsidRDefault="00044606" w:rsidP="00E4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F52" w:rsidRPr="00EE1AB3" w:rsidRDefault="00044606" w:rsidP="00E4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0F52" w:rsidRPr="00EE1A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0F52" w:rsidRPr="00EE1AB3" w:rsidRDefault="00E10F52" w:rsidP="00EE1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Случаи предоставления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4969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образовательным организациям, индивидуальным предпринимателям, осуществляющим образовательную деятельность по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дошкольного образования, присмотр и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уход за детьми в возрасте до 8 лет на территории города Перми и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имеющим лицензию на осуществление образовательной деятельности, по возмещению части затрат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формы и формы собственности (за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исключением государственных (муниципальных) учреждений), индивидуальным предпринимателям в целях возмещения затрат на отдых детей в связи с оказанием услуг по организации отдыха детей и молодежи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формы и формы собственности (за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исключением государственных (муниципальных) учреждений), индивидуальным предпринимателям в целях возмещения затрат на отдых детей и их оздоровление в загородных лагерях отдыха и оздоровления детей, санаторно-оздоровительных детских лагерях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индивидуальным предпринимателям в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целях возмещения затрат на приобретение путевок в загородные лагеря отдыха и оздоровления детей, санаторно-оздоровительные детские лагеря для детей работников данных хозяйствующих субъектов, индивидуальных предпринимателей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лицам, индивидуальным предпринимателям,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осуществляющим регулярные перевозки отдельных категорий лиц с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использованием льготного проездного документа по муниципальным маршрутам регулярных перевозок по регулируемым тарифам города Перми, на возмещение недополученных доходов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предпринимателям, осуществляющим перевозки пассажиров автомобильным транспортом по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муниципальным маршрутам регулярных перевозок по регулируемым тарифам города Перми, возникающих вследствие регулирования тарифов, на возмещение затрат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предпринимателям, осуществляющим регулярные перевозки отдельных категорий лиц с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использованием льготного проездного документа по муниципальным маршрутам регулярных перевозок по регулируемым тарифам города Перми, в части денежных средств, поступающих в бюджет города Перми от оплаты стоимости льготных проездных документов, на возмещение недополученных доходов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DE4B38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лицам, индивидуальным предпринимателям, осуществляющим регулярные перевозки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пассажиров,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ующих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проездно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билет,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маршрутам регулярных перевозок по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регулируемым тарифам города Перми, в части денежных средств, поступающих в бюджет города Перми от оплаты стоимости проездных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билетов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, на возмещение недополученных доходов</w:t>
            </w:r>
            <w:proofErr w:type="gramEnd"/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организации освещения улиц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выполнением работ по содержанию ливневой канализации улиц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CD2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некоммерческих организаций) - производителям товаров, работ, услуг в целях возмещения затрат по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0" w:name="_GoBack"/>
            <w:bookmarkEnd w:id="0"/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размещению информационных материалов по вопросам местного значения в средствах массовой информации и массовой коммуникации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CA5B68" w:rsidRDefault="00CA5B68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B68">
              <w:rPr>
                <w:rFonts w:ascii="Times New Roman" w:hAnsi="Times New Roman" w:cs="Times New Roman"/>
                <w:sz w:val="28"/>
                <w:szCs w:val="22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</w:t>
            </w:r>
            <w:r w:rsidRPr="00CA5B68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учреждений), в целях возмещения затрат в связи с обустройством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благоустройству придомовых территорий многоквартирных домов на земельных участках, находящихся в общей долевой собственности собственников помещений в многоквартирных домах города Перми, а также территорий (земель, земельных участков), фактически используемых собственниками помещений многоквартирного дома для эксплуатации многоквартирного дома и объектов, входящих в состав общего имущества в таком доме и находящихся в муниципальной собственности и (или) государственная собственность на которые не разграничена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благоустройством дворовых территорий многоквартирных домов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управляющим организациям,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иным лицам, оказывающим услуги (выполняющим работы) по содержанию общего имущества многоквартирных домов, в части возмещения недополученных доходов, связанных с предоставлением гражданам мер социальной поддержки в виде уменьшения размера платы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содержание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реконструкции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в связи с проведением капитального ремонта фасадов многоквартирных домов, расположенных в центральном планировочном районе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возмещения затрат в связи с проведением капитального ремонта общего имущества многоквартирных домов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города Перми в целях возмещения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рат, связанных с приобретением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(изготовлением) типового нестационарного торгового объекта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F05E46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строений, сооружений в связи с их утилизацией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предпринимательства города Перми в целях возмещения </w:t>
            </w:r>
            <w:r w:rsidR="0005779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затрат на обустройство входных групп нежилых помещений, размещенных в границах территорий достопримечательных мест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организациям, не являющимся государственными (муниципальными) учреждениями: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приобретением призов и подарков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 в целях финансового обеспечения затрат по организации проведения мероприятий, приуроченных к празднованию государственных праздников и памятных дат в истории России и профессиональных праздников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уставной деятельности, направленной в том числе на организацию и проведение мероприятий для ветеранов (пенсионеров) войны, труда, Вооруженных Сил и правоохранительных органов города Перми; организацию и проведение мероприятий, направленных на патриотическое воспитание молодежи, повышение гражданской активности, организацию общественного контроля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территориальным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помещения, оплату коммунальных услуг, оплату труда, а также на проведение культурно-массовых и спортивных мероприятий по месту жительства в рамках реализации мероприятий, направленных на решение вопросов местного значения в микрорайонах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</w:t>
            </w:r>
            <w:r w:rsidR="006340DE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отдельным категориям лиц, которым присуждена ученая степень кандидата наук, доктора наук, работающих в указанных организациях, и администрированием данных расходов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F05E46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общественным объединениям пожарной охраны в целях возмещения затрат на материальное стимулирование деятельности добровольных пожарных, </w:t>
            </w:r>
            <w:r w:rsidR="00E450CE"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действующих на</w:t>
            </w:r>
            <w:r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 на проведение мероприятий в рамках реализации городской инициативы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Город - детям! Дети - городу!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тематики, по информированию населения города Перми о деятельности, направленной на сохранение и развитие традиций гражданственности и патриотизма, по проведению конкурсов, тренингов, семинаров, фестивалей, форумов, консультаций, круглых столов, организации работы клубов по месту жительства для населения города Перми, на проведение мероприятий, приуроченных к Празднику Весны и Труда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осуществлением хозяйственной деятельности, направленной на организацию и проведение мероприятий в рамках укрепления межнационального и межконфессионального согласия в городе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малоимущих многодетных и малоимущих семей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бесплатного питания отдельным категориям учащихся в частных общеобразовательных организациях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 (за исключением субсидий государственным (муниципальным) учреждениям) в целях возмещения затрат на приобретение путевок в загородные лагеря отдыха и оздоровления детей, санаторно-оздоровительные детские лагеря для детей работников данных некоммерческих организаций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реализацией проектов, направленных на организацию и проведение мероприятий с участием населения города Перми: конкурса поддержки локальных инициатив социально ориентированных некоммерческих организаций города Перми, конкурса проектов территориальных общественных самоуправлений города Перми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бесплатного двухразового питания учащимся с ограниченными возможностями здоровья</w:t>
            </w:r>
          </w:p>
        </w:tc>
      </w:tr>
      <w:tr w:rsidR="00EE1AB3" w:rsidRPr="00EE1AB3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возмещение затрат, связанных с реализацией социально значимых программ в сфере физической культуры и спорта</w:t>
            </w:r>
          </w:p>
        </w:tc>
      </w:tr>
      <w:tr w:rsidR="00CA5B68" w:rsidRPr="00CA5B68" w:rsidTr="004969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A5B68" w:rsidRPr="00CA5B68" w:rsidRDefault="00CA5B68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5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A5B68" w:rsidRPr="00CA5B68" w:rsidRDefault="00CA5B68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B6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территориальным общественным самоуправлениям, зарегистрированным в качестве юридического лица, в целях возмещения затрат в связи с обустройством детских игровых, спортивных площадок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</w:t>
            </w:r>
            <w:r w:rsidR="00FC1901">
              <w:rPr>
                <w:rFonts w:ascii="Times New Roman" w:hAnsi="Times New Roman" w:cs="Times New Roman"/>
                <w:bCs/>
                <w:sz w:val="28"/>
                <w:szCs w:val="28"/>
              </w:rPr>
              <w:t>ость на которые не разграничена</w:t>
            </w:r>
          </w:p>
        </w:tc>
      </w:tr>
    </w:tbl>
    <w:p w:rsidR="008E38D7" w:rsidRDefault="008E38D7">
      <w:pPr>
        <w:rPr>
          <w:rFonts w:ascii="Times New Roman" w:hAnsi="Times New Roman" w:cs="Times New Roman"/>
          <w:sz w:val="28"/>
          <w:szCs w:val="28"/>
        </w:rPr>
      </w:pPr>
    </w:p>
    <w:sectPr w:rsidR="008E38D7" w:rsidSect="00BE6A65">
      <w:headerReference w:type="default" r:id="rId7"/>
      <w:footerReference w:type="default" r:id="rId8"/>
      <w:footerReference w:type="first" r:id="rId9"/>
      <w:pgSz w:w="11906" w:h="16838"/>
      <w:pgMar w:top="1134" w:right="567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DF" w:rsidRDefault="00CD5ADF" w:rsidP="008B6AF3">
      <w:pPr>
        <w:spacing w:after="0" w:line="240" w:lineRule="auto"/>
      </w:pPr>
      <w:r>
        <w:separator/>
      </w:r>
    </w:p>
  </w:endnote>
  <w:endnote w:type="continuationSeparator" w:id="0">
    <w:p w:rsidR="00CD5ADF" w:rsidRDefault="00CD5ADF" w:rsidP="008B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13581"/>
      <w:docPartObj>
        <w:docPartGallery w:val="Page Numbers (Bottom of Page)"/>
        <w:docPartUnique/>
      </w:docPartObj>
    </w:sdtPr>
    <w:sdtEndPr/>
    <w:sdtContent>
      <w:p w:rsidR="00BE6A65" w:rsidRDefault="00BE6A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2B">
          <w:rPr>
            <w:noProof/>
          </w:rPr>
          <w:t>3</w:t>
        </w:r>
        <w:r>
          <w:fldChar w:fldCharType="end"/>
        </w:r>
      </w:p>
    </w:sdtContent>
  </w:sdt>
  <w:p w:rsidR="00BE6A65" w:rsidRDefault="00BE6A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65" w:rsidRDefault="00BE6A65">
    <w:pPr>
      <w:pStyle w:val="a5"/>
      <w:jc w:val="right"/>
    </w:pPr>
  </w:p>
  <w:p w:rsidR="00BE6A65" w:rsidRDefault="00BE6A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DF" w:rsidRDefault="00CD5ADF" w:rsidP="008B6AF3">
      <w:pPr>
        <w:spacing w:after="0" w:line="240" w:lineRule="auto"/>
      </w:pPr>
      <w:r>
        <w:separator/>
      </w:r>
    </w:p>
  </w:footnote>
  <w:footnote w:type="continuationSeparator" w:id="0">
    <w:p w:rsidR="00CD5ADF" w:rsidRDefault="00CD5ADF" w:rsidP="008B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65" w:rsidRDefault="00BE6A65">
    <w:pPr>
      <w:pStyle w:val="a3"/>
    </w:pPr>
  </w:p>
  <w:p w:rsidR="008B6AF3" w:rsidRDefault="008B6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LKQUkRFfeaIseGi30RX/MVxZtg=" w:salt="lxCxCjLzRFKH6ySomx9/pA==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2"/>
    <w:rsid w:val="00044606"/>
    <w:rsid w:val="0005779E"/>
    <w:rsid w:val="0008766B"/>
    <w:rsid w:val="000A3ABE"/>
    <w:rsid w:val="001468E2"/>
    <w:rsid w:val="00167919"/>
    <w:rsid w:val="001C6F55"/>
    <w:rsid w:val="001E1CC4"/>
    <w:rsid w:val="002D1CF9"/>
    <w:rsid w:val="002D29E3"/>
    <w:rsid w:val="002F2C50"/>
    <w:rsid w:val="002F5571"/>
    <w:rsid w:val="003012F2"/>
    <w:rsid w:val="0038069C"/>
    <w:rsid w:val="00385C30"/>
    <w:rsid w:val="0039612B"/>
    <w:rsid w:val="003A49B8"/>
    <w:rsid w:val="003C4BCE"/>
    <w:rsid w:val="0043028A"/>
    <w:rsid w:val="00471B50"/>
    <w:rsid w:val="004969C0"/>
    <w:rsid w:val="004B2B39"/>
    <w:rsid w:val="004E2A6D"/>
    <w:rsid w:val="005E515D"/>
    <w:rsid w:val="006214C8"/>
    <w:rsid w:val="00623348"/>
    <w:rsid w:val="006340DE"/>
    <w:rsid w:val="006341A3"/>
    <w:rsid w:val="00653C9E"/>
    <w:rsid w:val="00663849"/>
    <w:rsid w:val="006715BD"/>
    <w:rsid w:val="006E1A1D"/>
    <w:rsid w:val="00757893"/>
    <w:rsid w:val="008B6AF3"/>
    <w:rsid w:val="008D0111"/>
    <w:rsid w:val="008D5BB3"/>
    <w:rsid w:val="008E38D7"/>
    <w:rsid w:val="008E4F56"/>
    <w:rsid w:val="009020EE"/>
    <w:rsid w:val="00957365"/>
    <w:rsid w:val="00A02744"/>
    <w:rsid w:val="00A061C8"/>
    <w:rsid w:val="00A20380"/>
    <w:rsid w:val="00A64785"/>
    <w:rsid w:val="00A85427"/>
    <w:rsid w:val="00B44C85"/>
    <w:rsid w:val="00B664F1"/>
    <w:rsid w:val="00B74664"/>
    <w:rsid w:val="00B76087"/>
    <w:rsid w:val="00BB0B5E"/>
    <w:rsid w:val="00BD23E2"/>
    <w:rsid w:val="00BE6A65"/>
    <w:rsid w:val="00C1193F"/>
    <w:rsid w:val="00C21EA2"/>
    <w:rsid w:val="00C931C5"/>
    <w:rsid w:val="00CA5B68"/>
    <w:rsid w:val="00CD2A18"/>
    <w:rsid w:val="00CD5ADF"/>
    <w:rsid w:val="00CF6612"/>
    <w:rsid w:val="00DE4B38"/>
    <w:rsid w:val="00E10F52"/>
    <w:rsid w:val="00E44770"/>
    <w:rsid w:val="00E450CE"/>
    <w:rsid w:val="00E54389"/>
    <w:rsid w:val="00E603DB"/>
    <w:rsid w:val="00E7367E"/>
    <w:rsid w:val="00EE1AB3"/>
    <w:rsid w:val="00F05E46"/>
    <w:rsid w:val="00F5128F"/>
    <w:rsid w:val="00F924AA"/>
    <w:rsid w:val="00FA0C57"/>
    <w:rsid w:val="00FC190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AF3"/>
  </w:style>
  <w:style w:type="paragraph" w:styleId="a5">
    <w:name w:val="footer"/>
    <w:basedOn w:val="a"/>
    <w:link w:val="a6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AF3"/>
  </w:style>
  <w:style w:type="paragraph" w:styleId="a7">
    <w:name w:val="Balloon Text"/>
    <w:basedOn w:val="a"/>
    <w:link w:val="a8"/>
    <w:uiPriority w:val="99"/>
    <w:semiHidden/>
    <w:unhideWhenUsed/>
    <w:rsid w:val="00BE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AF3"/>
  </w:style>
  <w:style w:type="paragraph" w:styleId="a5">
    <w:name w:val="footer"/>
    <w:basedOn w:val="a"/>
    <w:link w:val="a6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AF3"/>
  </w:style>
  <w:style w:type="paragraph" w:styleId="a7">
    <w:name w:val="Balloon Text"/>
    <w:basedOn w:val="a"/>
    <w:link w:val="a8"/>
    <w:uiPriority w:val="99"/>
    <w:semiHidden/>
    <w:unhideWhenUsed/>
    <w:rsid w:val="00BE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2458</Words>
  <Characters>14013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Колышкина Елена Владимировна</cp:lastModifiedBy>
  <cp:revision>66</cp:revision>
  <cp:lastPrinted>2019-12-18T12:59:00Z</cp:lastPrinted>
  <dcterms:created xsi:type="dcterms:W3CDTF">2018-10-08T09:32:00Z</dcterms:created>
  <dcterms:modified xsi:type="dcterms:W3CDTF">2019-12-20T04:31:00Z</dcterms:modified>
</cp:coreProperties>
</file>