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943B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D6E5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943B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D6E5E">
                        <w:rPr>
                          <w:sz w:val="28"/>
                          <w:szCs w:val="28"/>
                          <w:u w:val="single"/>
                        </w:rPr>
                        <w:t xml:space="preserve"> 343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943B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943B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70AFF" w:rsidRDefault="00570AFF" w:rsidP="00570AFF">
      <w:pPr>
        <w:pStyle w:val="ConsPlusNormal"/>
        <w:widowControl/>
        <w:spacing w:before="48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направлении депутата Пермской городской Думы VII созыва в состав конкурсной комиссии по проведению открытого конкурса по отбору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управляющей организации для управления многоквартирным </w:t>
      </w:r>
      <w:r>
        <w:rPr>
          <w:rFonts w:ascii="Times New Roman" w:hAnsi="Times New Roman" w:cs="Times New Roman"/>
          <w:b/>
          <w:sz w:val="28"/>
          <w:szCs w:val="28"/>
        </w:rPr>
        <w:br/>
        <w:t>домом на территории города Перми</w:t>
      </w:r>
    </w:p>
    <w:p w:rsidR="00570AFF" w:rsidRDefault="00570AFF" w:rsidP="00570AFF">
      <w:pPr>
        <w:pStyle w:val="3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570AFF" w:rsidRDefault="00570AFF" w:rsidP="00570A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Направить в состав конкурсной комиссии по проведению открытого конкурса по отбору управляющей организации для управления многоквартирным домом на территории города Перми </w:t>
      </w:r>
      <w:r w:rsidR="00BD4307">
        <w:rPr>
          <w:sz w:val="28"/>
          <w:szCs w:val="28"/>
        </w:rPr>
        <w:t xml:space="preserve">Спиридонова Максима Александровича, депутата Пермской городской Думы, </w:t>
      </w:r>
      <w:r>
        <w:rPr>
          <w:sz w:val="28"/>
          <w:szCs w:val="28"/>
        </w:rPr>
        <w:t xml:space="preserve">заместителя председателя Пермской городской Думы. </w:t>
      </w:r>
    </w:p>
    <w:p w:rsidR="00570AFF" w:rsidRDefault="00570AFF" w:rsidP="00570A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 Пермской городской Думы от 25.04.2017 № 90 «О направлении депутата Пермской городской Думы в состав конкурсной комиссии по проведению открытого конкурса по отбору управляющей организации для управления многоквартирным домом на территории города Перми».</w:t>
      </w:r>
    </w:p>
    <w:p w:rsidR="00570AFF" w:rsidRDefault="00570AFF" w:rsidP="00570A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570AFF" w:rsidRDefault="00570AFF" w:rsidP="00570A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570AFF" w:rsidRDefault="00570AFF" w:rsidP="00570A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05917" w:rsidRPr="00405917" w:rsidRDefault="00307674" w:rsidP="00570AFF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E5248" wp14:editId="4C476DB2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E5248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AF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GQWp7dFaYd3PKdtXMFTfIpS7FTHXBmXu5ENJ+U1FLwouDvJ7Z5L/qRBF+xHUgHOwYo+YJ4+9VmzyxCukan9+w==" w:salt="VB2W/0VYwDEX/vrmN0/PY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6E5E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43B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0AFF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4307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C864D608-4B76-4F17-B57F-D0811ADE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570AF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1239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2021-12-21T08:57:00Z</cp:lastPrinted>
  <dcterms:created xsi:type="dcterms:W3CDTF">2021-12-16T11:07:00Z</dcterms:created>
  <dcterms:modified xsi:type="dcterms:W3CDTF">2021-12-21T08:58:00Z</dcterms:modified>
</cp:coreProperties>
</file>