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EA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>
            <wp:extent cx="403860" cy="510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A7" w:rsidRPr="00716EA7" w:rsidRDefault="00716EA7" w:rsidP="00716EA7">
      <w:pPr>
        <w:widowControl w:val="0"/>
        <w:spacing w:before="40" w:after="0" w:line="240" w:lineRule="auto"/>
        <w:ind w:right="14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 ПЕРМИ</w:t>
      </w: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НАЧАЛЬНИК ДЕПАРТАМЕНТА</w:t>
      </w:r>
    </w:p>
    <w:p w:rsidR="00716EA7" w:rsidRPr="00716EA7" w:rsidRDefault="00716EA7" w:rsidP="00716EA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ЖИЛИЩНО-КОММУНАЛЬНОГО ХОЗЯЙСТВА</w:t>
      </w: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716EA7" w:rsidRPr="00716EA7" w:rsidRDefault="00716EA7" w:rsidP="00716EA7">
      <w:pPr>
        <w:spacing w:after="0" w:line="240" w:lineRule="auto"/>
        <w:ind w:right="-2025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16EA7" w:rsidRPr="00716EA7" w:rsidRDefault="00716EA7" w:rsidP="00716EA7">
      <w:pPr>
        <w:widowControl w:val="0"/>
        <w:spacing w:after="0" w:line="360" w:lineRule="exact"/>
        <w:ind w:right="-2025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 утверждении Программы</w:t>
      </w: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профилактики рисков причинения</w:t>
      </w: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вреда (ущерба) охраняемым законом </w:t>
      </w: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ценностям </w:t>
      </w:r>
      <w:bookmarkStart w:id="0" w:name="_Hlk95129119"/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 муниципальному</w:t>
      </w:r>
    </w:p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1" w:name="_Hlk95129141"/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жилищному контролю на территории</w:t>
      </w:r>
    </w:p>
    <w:bookmarkEnd w:id="1"/>
    <w:p w:rsidR="00716EA7" w:rsidRPr="00716EA7" w:rsidRDefault="00716EA7" w:rsidP="00716EA7">
      <w:pPr>
        <w:spacing w:after="0" w:line="240" w:lineRule="exac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города Перми </w:t>
      </w:r>
      <w:bookmarkEnd w:id="0"/>
      <w:r w:rsidRPr="00716EA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 2022 год</w:t>
      </w: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31 июля 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решений Пермской городской Думы от 21 декабря 2021 г. № 313 «О муниципальном жилищном контроле на территории города Перми», от 26.06.2012 № 138 «О создании департамента жилищно-коммунального хозяйства администрации города Перми»:</w:t>
      </w:r>
    </w:p>
    <w:p w:rsidR="00716EA7" w:rsidRPr="00716EA7" w:rsidRDefault="00716EA7" w:rsidP="00716EA7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территории города Перми на 2022 год.</w:t>
      </w:r>
    </w:p>
    <w:p w:rsidR="00716EA7" w:rsidRPr="00716EA7" w:rsidRDefault="00716EA7" w:rsidP="00716EA7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января 2022 г.</w:t>
      </w:r>
    </w:p>
    <w:p w:rsidR="00716EA7" w:rsidRPr="00716EA7" w:rsidRDefault="00716EA7" w:rsidP="00716EA7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8752905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административного делопроизводства департамента жилищно-коммунального хозяйства администрации города Перми обеспечить опубликование настоящего распоряжения:</w:t>
      </w:r>
      <w:bookmarkEnd w:id="2"/>
    </w:p>
    <w:p w:rsidR="00716EA7" w:rsidRPr="00716EA7" w:rsidRDefault="00716EA7" w:rsidP="00716EA7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716EA7" w:rsidRPr="00716EA7" w:rsidRDefault="00716EA7" w:rsidP="00716EA7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муниципального образования город Пермь</w:t>
      </w:r>
      <w:r w:rsidRPr="00716E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в течение 5 дней со дня подписания.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6EA7" w:rsidRPr="00716EA7" w:rsidRDefault="00716EA7" w:rsidP="00716EA7">
      <w:pPr>
        <w:numPr>
          <w:ilvl w:val="0"/>
          <w:numId w:val="8"/>
        </w:numPr>
        <w:tabs>
          <w:tab w:val="left" w:pos="1276"/>
          <w:tab w:val="left" w:pos="694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на заместителя начальника департамента – муниципального жилищного инспектора департамента жилищно-коммунального хозяйства администрации города Перми </w:t>
      </w:r>
      <w:proofErr w:type="spellStart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Ракинцева</w:t>
      </w:r>
      <w:proofErr w:type="spellEnd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А.И.Власов</w:t>
      </w:r>
      <w:proofErr w:type="spellEnd"/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4E1E7D" w:rsidRPr="00951009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4E1E7D" w:rsidRPr="00951009">
        <w:rPr>
          <w:rFonts w:ascii="Times New Roman" w:hAnsi="Times New Roman" w:cs="Times New Roman"/>
          <w:sz w:val="28"/>
          <w:szCs w:val="28"/>
        </w:rPr>
        <w:t>УТВЕРЖДЕНА</w:t>
      </w:r>
      <w:r w:rsidR="00FC2430" w:rsidRPr="0095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7D" w:rsidRPr="00951009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Рас</w:t>
      </w:r>
      <w:r w:rsidR="00FC2430" w:rsidRPr="009510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оряжением </w:t>
      </w:r>
      <w:r w:rsidR="00FC2430" w:rsidRPr="00951009">
        <w:rPr>
          <w:rFonts w:ascii="Times New Roman" w:hAnsi="Times New Roman" w:cs="Times New Roman"/>
          <w:sz w:val="28"/>
          <w:szCs w:val="28"/>
        </w:rPr>
        <w:t>начальника</w:t>
      </w:r>
    </w:p>
    <w:p w:rsidR="00FC2430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C2430" w:rsidRPr="0095100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E1E7D" w:rsidRPr="00951009">
        <w:rPr>
          <w:rFonts w:ascii="Times New Roman" w:hAnsi="Times New Roman" w:cs="Times New Roman"/>
          <w:sz w:val="28"/>
          <w:szCs w:val="28"/>
        </w:rPr>
        <w:t>ЖКХ</w:t>
      </w:r>
    </w:p>
    <w:p w:rsidR="00716EA7" w:rsidRPr="00951009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315AE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A7" w:rsidRDefault="00716EA7" w:rsidP="00315AE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AE8" w:rsidRPr="00951009" w:rsidRDefault="00BA225A" w:rsidP="00315AE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00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15AE8" w:rsidRPr="00951009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BA225A" w:rsidRPr="00951009" w:rsidRDefault="00315AE8" w:rsidP="00315AE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00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225A" w:rsidRPr="00951009">
        <w:rPr>
          <w:rFonts w:ascii="Times New Roman" w:hAnsi="Times New Roman" w:cs="Times New Roman"/>
          <w:b/>
          <w:bCs/>
          <w:sz w:val="28"/>
          <w:szCs w:val="28"/>
        </w:rPr>
        <w:t>рофилактики</w:t>
      </w:r>
      <w:r w:rsidRPr="00951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25A" w:rsidRPr="00951009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Pr="0095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5A" w:rsidRPr="00951009">
        <w:rPr>
          <w:rFonts w:ascii="Times New Roman" w:hAnsi="Times New Roman" w:cs="Times New Roman"/>
          <w:b/>
          <w:sz w:val="28"/>
          <w:szCs w:val="28"/>
        </w:rPr>
        <w:t xml:space="preserve">по муниципальному жилищному контролю </w:t>
      </w:r>
      <w:r w:rsidR="00BA225A" w:rsidRPr="00951009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BA225A" w:rsidRPr="00951009" w:rsidRDefault="00BA225A" w:rsidP="00B5774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6D" w:rsidRDefault="00F25618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</w:p>
    <w:p w:rsidR="007A6CBA" w:rsidRPr="00951009" w:rsidRDefault="00F25618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осуществления </w:t>
      </w:r>
      <w:r w:rsidR="00D95D0E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описание текущего уровня развития профилактической деятельности контрольного органа</w:t>
      </w:r>
      <w:bookmarkStart w:id="3" w:name="_Hlk83887972"/>
    </w:p>
    <w:bookmarkEnd w:id="3"/>
    <w:p w:rsidR="004E6EF3" w:rsidRPr="00951009" w:rsidRDefault="004E6EF3" w:rsidP="00315AE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EF3" w:rsidRPr="00951009" w:rsidRDefault="004E6EF3" w:rsidP="00440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соответствии со статьей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</w:t>
      </w:r>
      <w:r w:rsidRPr="0095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«Об утверждении Правил разработки и утверждения контрольными</w:t>
      </w:r>
      <w:r w:rsidR="00440047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(надзорными) органами программы профилактики рисков причинения вреда</w:t>
      </w:r>
      <w:r w:rsidR="00440047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4E6EF3" w:rsidRPr="00951009" w:rsidRDefault="004E6EF3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города Перми осуществляется департаментом жилищно-коммунального хозяйства администрации города Перми (далее – Орган муниципального жилищного  контроля). </w:t>
      </w:r>
    </w:p>
    <w:p w:rsidR="006D0275" w:rsidRPr="00951009" w:rsidRDefault="0082262E" w:rsidP="00B57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897" w:rsidRPr="00951009">
        <w:rPr>
          <w:rFonts w:ascii="Times New Roman" w:hAnsi="Times New Roman" w:cs="Times New Roman"/>
          <w:sz w:val="28"/>
          <w:szCs w:val="28"/>
        </w:rPr>
        <w:t xml:space="preserve">  </w:t>
      </w:r>
      <w:r w:rsidR="006D0275" w:rsidRPr="00951009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посредством профилактики нарушений обязательных требований, организации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="006D0275" w:rsidRPr="00951009">
        <w:rPr>
          <w:rFonts w:ascii="Times New Roman" w:hAnsi="Times New Roman" w:cs="Times New Roman"/>
          <w:sz w:val="28"/>
          <w:szCs w:val="28"/>
        </w:rPr>
        <w:t>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897" w:rsidRPr="00951009">
        <w:rPr>
          <w:rFonts w:ascii="Times New Roman" w:hAnsi="Times New Roman" w:cs="Times New Roman"/>
          <w:sz w:val="28"/>
          <w:szCs w:val="28"/>
        </w:rPr>
        <w:t xml:space="preserve"> </w:t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следующих обязательных требований, в отношении муниципального жилищного фонда: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  требований к использованию и сохранности жилищного фонда, в том числе </w:t>
      </w:r>
      <w:hyperlink r:id="rId8" w:history="1">
        <w:r w:rsidRPr="00951009">
          <w:rPr>
            <w:rFonts w:ascii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многоквартирных домах, порядку осуществления перевода жилого помещения в нежилое помещение и нежилого помещения в жилое 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>в многоквартирном доме, порядку осуществления перепланировки и (или) переустройства помещений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>в многоквартирном доме;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</w:t>
      </w:r>
      <w:hyperlink r:id="rId9" w:history="1">
        <w:r w:rsidRPr="00951009">
          <w:rPr>
            <w:rFonts w:ascii="Times New Roman" w:hAnsi="Times New Roman" w:cs="Times New Roman"/>
            <w:sz w:val="28"/>
            <w:szCs w:val="28"/>
            <w:lang w:eastAsia="ru-RU"/>
          </w:rPr>
          <w:t>формированию</w:t>
        </w:r>
      </w:hyperlink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 фондов капитального ремонта;</w:t>
      </w:r>
    </w:p>
    <w:p w:rsidR="001B1BE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созданию и деятельности юридических лиц, индивидуальных предпринимателей, осуществляющих управление </w:t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предоставлению коммунальных услуг собственникам 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и пользователям помещений в многоквартирных домах и жилых домов; 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изменения размера платы за содержание жилого помещения 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оказания услуг и выполнения работ по управлению, содержанию 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>правил предоставления, приостановки и ограничения предоставления коммунальных услуг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собственникам и пользователям помещений 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>в многоквартирных домах и жилых домов;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 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к обеспечению доступности для инвалидов помещений </w:t>
      </w:r>
      <w:r w:rsidR="00B57749" w:rsidRPr="00951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hAnsi="Times New Roman" w:cs="Times New Roman"/>
          <w:sz w:val="28"/>
          <w:szCs w:val="28"/>
          <w:lang w:eastAsia="ru-RU"/>
        </w:rPr>
        <w:t>в многоквартирных домах;</w:t>
      </w:r>
    </w:p>
    <w:p w:rsidR="006D0275" w:rsidRPr="00951009" w:rsidRDefault="006D0275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t>требований к предоставлению жилых помещений в наемных домах социального использования.</w:t>
      </w:r>
    </w:p>
    <w:p w:rsidR="00C72D6A" w:rsidRPr="00951009" w:rsidRDefault="00DB6897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 </w:t>
      </w:r>
      <w:r w:rsidR="00C72D6A" w:rsidRPr="00951009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вправе обратиться в суд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="00C72D6A" w:rsidRPr="00951009">
        <w:rPr>
          <w:rFonts w:ascii="Times New Roman" w:hAnsi="Times New Roman" w:cs="Times New Roman"/>
          <w:sz w:val="28"/>
          <w:szCs w:val="28"/>
        </w:rPr>
        <w:t>с заявлениями:</w:t>
      </w:r>
    </w:p>
    <w:p w:rsidR="00C72D6A" w:rsidRPr="00951009" w:rsidRDefault="00C72D6A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C72D6A" w:rsidRPr="00951009" w:rsidRDefault="00C72D6A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C72D6A" w:rsidRPr="00951009" w:rsidRDefault="00C72D6A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 xml:space="preserve">по содержанию и (или) выполнению работ по ремонту общего имущества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lastRenderedPageBreak/>
        <w:t xml:space="preserve">в многоквартирном доме недействительными в случае неисполнения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 xml:space="preserve">в установленный 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многоквартирным домом и о его заключении,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 xml:space="preserve">о заключении договора оказания услуг и (или) выполнения работ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 xml:space="preserve">по содержанию и ремонту общего имущества в многоквартирном доме либо договора оказания услуг по содержанию и (или) выполнению работ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>по ремонту общего имущества в многоквартирном доме, об утверждении условий указанных договоров;</w:t>
      </w:r>
    </w:p>
    <w:p w:rsidR="00C72D6A" w:rsidRPr="00951009" w:rsidRDefault="00C72D6A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в защиту прав и законных интересов собственников помещений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>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C72D6A" w:rsidRPr="00951009" w:rsidRDefault="00C72D6A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о признании договора найма жилого помещения жилищного фонда социального использования недействительным в случае неисполнения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>в установленный срок предписания об устранении несоответствия данного договора обязательным требованиям, установленным настоящим Кодексом;</w:t>
      </w:r>
    </w:p>
    <w:p w:rsidR="00F9138E" w:rsidRPr="00951009" w:rsidRDefault="00C72D6A" w:rsidP="00B5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о понуждении к исполнению предписания.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предупреждения нарушений юридическими лицами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индивидуальными предпринимателями обязательных требований, требований, установленных муниципальными правовыми актами в отношении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жилищного фонда Органом муниципального жилищного контроля утверждена Программа профилактики нарушений на 2020 год,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которой было исполнено следующее: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официальном сайте </w:t>
      </w:r>
      <w:r w:rsidR="004E6EF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жилищного контроля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Pr="0095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содержащих обязательные требования, требования, 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актов; 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E6EF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жилищного контроля 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047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  руководство</w:t>
      </w:r>
      <w:r w:rsidR="001D5D7D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D5D7D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соблюдению обязательных требований, требований, установленных муниципальными правовыми актами;       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E6EF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жилищного контроля 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обзор обобщения практики осуществления муниципального жилищного контроля, с указанием наиболее часто встречающихся случаев нарушений обязательных требований, требований,  установленных муниципальными правовыми актами,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нарушений;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E6EF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жилищного контроля 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доклад</w:t>
      </w:r>
      <w:r w:rsidRPr="0095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осуществлении муниципального жилищного контроля, </w:t>
      </w:r>
      <w:r w:rsidR="008E313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юридических лиц и индивидуальных предпринимателей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ответственности;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E6EF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жилищного контроля 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сведения о судебных решениях по исковым заявлениям Органа муниципального жилищного контроля в защиту прав, свобод и законных интересов неопределенного круга лиц; </w:t>
      </w:r>
    </w:p>
    <w:p w:rsidR="00C0284B" w:rsidRPr="00951009" w:rsidRDefault="00C0284B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="00CF0ECB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</w:t>
      </w:r>
      <w:r w:rsidR="001D5D7D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информированию 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актами. Принятие данных мер осуществлялось посредством  проведения при личном приеме или по телефону консультаций, а также разъяснений при проведении контрольных мероприятий</w:t>
      </w:r>
      <w:r w:rsidR="008E313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по информированию хозяйствующих субъектов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неукоснительном соблюдении обязательных требований, требований,  установленных</w:t>
      </w:r>
      <w:r w:rsidR="001D5D7D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актами, было уделено  следующим вопросам: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сроков подготовки жилищного фонда к эксплуатации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осенне-зимний период; 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надлежащему содержанию жилищного фонда в зимний период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951009">
        <w:rPr>
          <w:rFonts w:ascii="Times New Roman" w:hAnsi="Times New Roman" w:cs="Times New Roman"/>
          <w:bCs/>
          <w:sz w:val="28"/>
          <w:szCs w:val="28"/>
        </w:rPr>
        <w:t xml:space="preserve">принятию незамедлительных мер по уборке от снега и гололеда дорог </w:t>
      </w:r>
      <w:r w:rsidRPr="00951009">
        <w:rPr>
          <w:rFonts w:ascii="Times New Roman" w:hAnsi="Times New Roman" w:cs="Times New Roman"/>
          <w:bCs/>
          <w:sz w:val="28"/>
          <w:szCs w:val="28"/>
        </w:rPr>
        <w:br/>
        <w:t>и тротуаров, по очистке конструктивных элементов многоквартирных домов от снежно-ледовых образований)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надлежащему содержанию лестничных клеток многоквартирных домов (поддержанию чистоты в подъездах); ввиду угрозы распространения новой </w:t>
      </w:r>
      <w:proofErr w:type="spellStart"/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95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 - о необходимости обеспечения влажной уборки мест общего пользования с применением обеззараживающих средств.     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аспектам в течение 2020 года еженедельно через территориальные органы администрации города Перми указанная информация доводилась до управляющих организаций посредством проведения совещаний, направления информационных писем, телефонограмм.</w:t>
      </w:r>
    </w:p>
    <w:p w:rsidR="003C0D41" w:rsidRPr="00951009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указанная информация доводилась через официальные сайты администрации города Перми и информационно-консультационны</w:t>
      </w:r>
      <w:r w:rsidR="0090521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90521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</w:t>
      </w:r>
      <w:r w:rsidR="0090521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84B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жилищного контроля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D41" w:rsidRDefault="003C0D41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указанных мер позволяет формировать у юридических лиц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184F56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отношение к необходимости соблюдения требований в жилищной сфере.</w:t>
      </w:r>
    </w:p>
    <w:p w:rsidR="00AF06FC" w:rsidRDefault="00AF06FC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FC" w:rsidRDefault="00AF06FC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FC" w:rsidRPr="00951009" w:rsidRDefault="00AF06FC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E8" w:rsidRPr="00951009" w:rsidRDefault="003C0D41" w:rsidP="00315AE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lastRenderedPageBreak/>
        <w:t xml:space="preserve">Данные </w:t>
      </w:r>
    </w:p>
    <w:p w:rsidR="003C0D41" w:rsidRDefault="003C0D41" w:rsidP="00315AE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о проведенных мероприятиях по осуществлению муниципального жилищного контроля</w:t>
      </w:r>
    </w:p>
    <w:p w:rsidR="00AF06FC" w:rsidRDefault="00AF06FC" w:rsidP="00315AE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F06FC" w:rsidRPr="00951009" w:rsidRDefault="00AF06FC" w:rsidP="00315AE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960"/>
        <w:gridCol w:w="4480"/>
        <w:gridCol w:w="1770"/>
        <w:gridCol w:w="1770"/>
      </w:tblGrid>
      <w:tr w:rsidR="003C0D41" w:rsidRPr="00951009" w:rsidTr="003C0D4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</w:p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3C0D41" w:rsidRPr="00951009" w:rsidTr="003C0D4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1" w:rsidRPr="00951009" w:rsidRDefault="003C0D41" w:rsidP="00B577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41" w:rsidRPr="00951009" w:rsidRDefault="003C0D41" w:rsidP="00B577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3C0D41" w:rsidRPr="00951009" w:rsidTr="003C0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проверок, проведенных Департаментом, всего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C0D41" w:rsidRPr="00951009" w:rsidTr="003C0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D41" w:rsidRPr="00951009" w:rsidTr="003C0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плановых, всего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D41" w:rsidRPr="00951009" w:rsidTr="003C0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внеплановых ,</w:t>
            </w:r>
            <w:proofErr w:type="gramEnd"/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C0D41" w:rsidRPr="00951009" w:rsidTr="003C0D41">
        <w:trPr>
          <w:trHeight w:val="3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D41" w:rsidRPr="00951009" w:rsidTr="003C0D41">
        <w:trPr>
          <w:trHeight w:val="3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контролю за исполнением предписания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C0D41" w:rsidRPr="00951009" w:rsidTr="003C0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заявлениям физических  и юридических  лиц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3C0D41" w:rsidRPr="00951009" w:rsidTr="003C0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документарных проверок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C0D41" w:rsidRPr="00951009" w:rsidTr="003C0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выездных проверок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C0D41" w:rsidRPr="00951009" w:rsidTr="003C0D4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выданных предписаний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C0D41" w:rsidRPr="00951009" w:rsidTr="003C0D41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проверок, по итогам которых выявлены нарушения, всего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3C0D41" w:rsidRPr="00951009" w:rsidTr="003C0D4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D41" w:rsidRPr="00951009" w:rsidTr="003C0D41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 требований законодательства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C0D41" w:rsidRPr="00951009" w:rsidTr="003C0D41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невыполнение предписаний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0D41" w:rsidRPr="00951009" w:rsidTr="003C0D41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составленных протоколов 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 административных правонарушениях, всего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3C0D41" w:rsidRPr="00951009" w:rsidTr="003C0D41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D41" w:rsidRPr="00951009" w:rsidTr="003C0D41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ч.1 ст. 19.4.1  КоАП РФ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0D41" w:rsidRPr="00951009" w:rsidTr="003C0D41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ч.1 ст. 19.5  КоАП РФ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0D41" w:rsidRPr="00951009" w:rsidTr="003C0D41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 ст. 19.7 КоАП РФ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3C0D41" w:rsidRPr="00951009" w:rsidTr="003C0D41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ст. 6.6 Закона № 460-ПК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D41" w:rsidRPr="00951009" w:rsidTr="003C0D41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ст. 6.11 Закона № 460-ПК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3C0D41" w:rsidRPr="00951009" w:rsidTr="003C0D41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ст. 6.7  Закона № 460-ПК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C0D41" w:rsidRPr="00951009" w:rsidTr="003C0D41">
        <w:trPr>
          <w:trHeight w:val="11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15AE8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3C0D41"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Постановлениями  по</w:t>
            </w:r>
            <w:proofErr w:type="gramEnd"/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делам об административных правонарушениях, поступившими в Департамент , юридические лица и должностные лица подвергнуты административным наказаниям в виде: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D41" w:rsidRPr="00951009" w:rsidTr="003C0D41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административных штрафов (</w:t>
            </w:r>
            <w:proofErr w:type="spellStart"/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1267750</w:t>
            </w:r>
          </w:p>
        </w:tc>
      </w:tr>
      <w:tr w:rsidR="003C0D41" w:rsidRPr="00951009" w:rsidTr="003C0D41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дисквалификации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D41" w:rsidRPr="00951009" w:rsidTr="003C0D41">
        <w:trPr>
          <w:trHeight w:val="4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3C0D41" w:rsidRPr="00951009" w:rsidTr="003C0D4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Постановления</w:t>
            </w:r>
            <w:r w:rsidR="001D5D7D"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делам об административных правонарушениях, поступившими в Департамент, юридическим лицам и должностным лицам объявлены устные замечания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D41" w:rsidRPr="00951009" w:rsidRDefault="003C0D41" w:rsidP="00B5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158E" w:rsidRPr="00951009" w:rsidRDefault="003C0D41" w:rsidP="00B5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</w:p>
    <w:p w:rsidR="003C0D41" w:rsidRPr="00951009" w:rsidRDefault="001B1BE5" w:rsidP="00B5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3C0D41" w:rsidRPr="00951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C0D41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результативности муниципального жилищного контроля установлено уменьшение ключевых показателей в 2020 году </w:t>
      </w:r>
      <w:r w:rsidR="003C0D41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сравнению с 2019 годом. Связано это с ограничениями на проведение проверок в 2020 году, установленными постановлением Правительства Российской Федерации от 3 апреля 2020 г. № 438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D41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0D41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D41" w:rsidRPr="00951009" w:rsidRDefault="003C0D41" w:rsidP="00B5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данном обстоятельстве затруднительно установить отчетные показатели мероприятий по профилактике нарушений в целом по 2020 году.</w:t>
      </w:r>
    </w:p>
    <w:p w:rsidR="003C0D41" w:rsidRPr="00951009" w:rsidRDefault="003C0D41" w:rsidP="00B5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Тем не менее, учитывая, что  в 1 квартале 2020 года до введения указанных ограничений на проведение контрольных мероприятий, внеплановых проверок </w:t>
      </w:r>
      <w:r w:rsidR="00C0284B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рганом муниципального жилищного контроля проведено меньше на 34%  по сравнению с 1 кварталом 2019 года, позволяет сделать вывод о результативности профилактических мероприятий. </w:t>
      </w:r>
    </w:p>
    <w:p w:rsidR="003C0D41" w:rsidRPr="00951009" w:rsidRDefault="003C0D41" w:rsidP="00B5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отчетными показателями мероприятий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нарушений обязательных требований, требований, установленных муниципальными правовыми актами, при осуществлении муниципального жилищного контроля за 1 квартал 2020 года следует, </w:t>
      </w:r>
      <w:r w:rsidR="00C0284B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уровень эффективности указанных мероприятий является высоким </w:t>
      </w:r>
      <w:r w:rsidR="00C0284B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 82%.</w:t>
      </w:r>
    </w:p>
    <w:p w:rsidR="003C0D41" w:rsidRPr="00951009" w:rsidRDefault="003C0D41" w:rsidP="00B5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Данная информация о реализации мероприятий по</w:t>
      </w:r>
      <w:r w:rsidR="001D5D7D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 нарушений</w:t>
      </w:r>
      <w:proofErr w:type="gramEnd"/>
      <w:r w:rsidR="001D5D7D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требований,</w:t>
      </w:r>
      <w:r w:rsidR="001D5D7D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муниципальными правовыми актами размещена на официальном сайте </w:t>
      </w:r>
      <w:r w:rsidR="008E3133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жилищного контроля 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57749"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6897" w:rsidRPr="00951009" w:rsidRDefault="00DB6897" w:rsidP="00B5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E8" w:rsidRPr="00951009" w:rsidRDefault="00DB689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</w:p>
    <w:p w:rsidR="007A6CBA" w:rsidRPr="00951009" w:rsidRDefault="00DB689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проблем, на решение которых направлена программа профилактики</w:t>
      </w:r>
    </w:p>
    <w:p w:rsidR="00FC2430" w:rsidRPr="00951009" w:rsidRDefault="00FC2430" w:rsidP="00B577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797" w:rsidRPr="00951009" w:rsidRDefault="00175797" w:rsidP="00B57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175797" w:rsidRPr="00951009" w:rsidRDefault="001D5D7D" w:rsidP="00B57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п</w:t>
      </w:r>
      <w:r w:rsidR="00175797" w:rsidRPr="00951009">
        <w:rPr>
          <w:rFonts w:ascii="Times New Roman" w:hAnsi="Times New Roman" w:cs="Times New Roman"/>
          <w:sz w:val="28"/>
          <w:szCs w:val="28"/>
        </w:rPr>
        <w:t>овышение</w:t>
      </w:r>
      <w:r w:rsidR="00B57749" w:rsidRPr="00951009">
        <w:rPr>
          <w:rFonts w:ascii="Times New Roman" w:hAnsi="Times New Roman" w:cs="Times New Roman"/>
          <w:sz w:val="28"/>
          <w:szCs w:val="28"/>
        </w:rPr>
        <w:t xml:space="preserve"> </w:t>
      </w:r>
      <w:r w:rsidR="00175797" w:rsidRPr="00951009">
        <w:rPr>
          <w:rFonts w:ascii="Times New Roman" w:hAnsi="Times New Roman" w:cs="Times New Roman"/>
          <w:sz w:val="28"/>
          <w:szCs w:val="28"/>
        </w:rPr>
        <w:t>эффективности</w:t>
      </w:r>
      <w:r w:rsidR="00B57749" w:rsidRPr="00951009">
        <w:rPr>
          <w:rFonts w:ascii="Times New Roman" w:hAnsi="Times New Roman" w:cs="Times New Roman"/>
          <w:sz w:val="28"/>
          <w:szCs w:val="28"/>
        </w:rPr>
        <w:t>,</w:t>
      </w:r>
      <w:r w:rsidR="00175797" w:rsidRPr="00951009">
        <w:rPr>
          <w:rFonts w:ascii="Times New Roman" w:hAnsi="Times New Roman" w:cs="Times New Roman"/>
          <w:sz w:val="28"/>
          <w:szCs w:val="28"/>
        </w:rPr>
        <w:t xml:space="preserve"> проводимой Органом муниципального жилищного контроля работы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175797" w:rsidRPr="00951009" w:rsidRDefault="00175797" w:rsidP="00B57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улучшение информационного обеспечения деятельности Органа муниципального жилищного контроля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F25618" w:rsidRPr="00951009" w:rsidRDefault="00175797" w:rsidP="00B57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лицами, индивидуальными предпринимателями и гражданами обязательных требований.</w:t>
      </w:r>
    </w:p>
    <w:p w:rsidR="00175797" w:rsidRPr="00951009" w:rsidRDefault="00175797" w:rsidP="00B57749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AE8" w:rsidRPr="00951009" w:rsidRDefault="006A3C7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B6897" w:rsidRPr="00951009">
        <w:rPr>
          <w:rFonts w:ascii="Times New Roman" w:hAnsi="Times New Roman" w:cs="Times New Roman"/>
          <w:sz w:val="28"/>
          <w:szCs w:val="28"/>
        </w:rPr>
        <w:t>3</w:t>
      </w:r>
      <w:r w:rsidRPr="00951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C77" w:rsidRPr="00951009" w:rsidRDefault="006A3C7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Цели и задачи реализации программы профилактики</w:t>
      </w:r>
    </w:p>
    <w:p w:rsidR="006A3C77" w:rsidRPr="00951009" w:rsidRDefault="006A3C77" w:rsidP="00B5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C77" w:rsidRPr="00951009" w:rsidRDefault="006A3C77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Программ</w:t>
      </w:r>
      <w:r w:rsidR="001D5D7D" w:rsidRPr="00951009">
        <w:rPr>
          <w:rFonts w:ascii="Times New Roman" w:hAnsi="Times New Roman" w:cs="Times New Roman"/>
          <w:sz w:val="28"/>
          <w:szCs w:val="28"/>
        </w:rPr>
        <w:t>а</w:t>
      </w:r>
      <w:r w:rsidRPr="00951009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237D7E" w:rsidRPr="00951009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следующих целей</w:t>
      </w:r>
      <w:r w:rsidRPr="00951009">
        <w:rPr>
          <w:rFonts w:ascii="Times New Roman" w:hAnsi="Times New Roman" w:cs="Times New Roman"/>
          <w:sz w:val="28"/>
          <w:szCs w:val="28"/>
        </w:rPr>
        <w:t>:</w:t>
      </w:r>
    </w:p>
    <w:p w:rsidR="006A3C77" w:rsidRPr="00951009" w:rsidRDefault="006A3C77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A3C77" w:rsidRPr="00951009" w:rsidRDefault="006A3C77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6A3C77" w:rsidRPr="00951009" w:rsidRDefault="006A3C77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B57749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6A3C77" w:rsidRPr="00951009" w:rsidRDefault="004C0435" w:rsidP="00B5774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C77" w:rsidRPr="00951009">
        <w:rPr>
          <w:rFonts w:ascii="Times New Roman" w:hAnsi="Times New Roman" w:cs="Times New Roman"/>
          <w:sz w:val="28"/>
          <w:szCs w:val="28"/>
        </w:rPr>
        <w:t xml:space="preserve"> </w:t>
      </w:r>
      <w:r w:rsidR="00237D7E" w:rsidRPr="0095100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6A3C77" w:rsidRPr="00951009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237D7E" w:rsidRPr="0095100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A3C77" w:rsidRPr="00951009">
        <w:rPr>
          <w:rFonts w:ascii="Times New Roman" w:hAnsi="Times New Roman" w:cs="Times New Roman"/>
          <w:sz w:val="28"/>
          <w:szCs w:val="28"/>
        </w:rPr>
        <w:t>:</w:t>
      </w:r>
    </w:p>
    <w:p w:rsidR="006A3C77" w:rsidRPr="00951009" w:rsidRDefault="006A3C77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</w:t>
      </w:r>
      <w:r w:rsidR="00292A45" w:rsidRPr="00951009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Pr="00951009">
        <w:rPr>
          <w:rFonts w:ascii="Times New Roman" w:hAnsi="Times New Roman" w:cs="Times New Roman"/>
          <w:sz w:val="28"/>
          <w:szCs w:val="28"/>
        </w:rPr>
        <w:t>;</w:t>
      </w:r>
    </w:p>
    <w:p w:rsidR="00292A45" w:rsidRPr="00951009" w:rsidRDefault="00292A45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292A45" w:rsidRPr="00951009" w:rsidRDefault="00292A45" w:rsidP="00B577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11306" w:rsidRDefault="006A3C77" w:rsidP="00716E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51009">
        <w:rPr>
          <w:rFonts w:ascii="Times New Roman" w:hAnsi="Times New Roman" w:cs="Times New Roman"/>
          <w:iCs/>
          <w:sz w:val="28"/>
          <w:szCs w:val="28"/>
        </w:rPr>
        <w:t xml:space="preserve">повышение правосознания и правовой культуры </w:t>
      </w:r>
      <w:r w:rsidR="00237D7E" w:rsidRPr="00951009">
        <w:rPr>
          <w:rFonts w:ascii="Times New Roman" w:hAnsi="Times New Roman" w:cs="Times New Roman"/>
          <w:iCs/>
          <w:sz w:val="28"/>
          <w:szCs w:val="28"/>
        </w:rPr>
        <w:t>подконтрольных субъектов при соблюдении обязательных требований</w:t>
      </w:r>
      <w:r w:rsidR="00292A45" w:rsidRPr="00951009">
        <w:rPr>
          <w:rFonts w:ascii="Times New Roman" w:hAnsi="Times New Roman" w:cs="Times New Roman"/>
          <w:iCs/>
          <w:sz w:val="28"/>
          <w:szCs w:val="28"/>
        </w:rPr>
        <w:t>.</w:t>
      </w:r>
    </w:p>
    <w:p w:rsidR="00716EA7" w:rsidRDefault="00716EA7" w:rsidP="00716E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11306" w:rsidRDefault="00711306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AE8" w:rsidRPr="00951009" w:rsidRDefault="006A3C7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B6897" w:rsidRPr="00951009">
        <w:rPr>
          <w:rFonts w:ascii="Times New Roman" w:hAnsi="Times New Roman" w:cs="Times New Roman"/>
          <w:sz w:val="28"/>
          <w:szCs w:val="28"/>
        </w:rPr>
        <w:t>4</w:t>
      </w:r>
      <w:r w:rsidRPr="00951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897" w:rsidRDefault="006A3C7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сроки (периодичность) </w:t>
      </w:r>
      <w:r w:rsidR="00315AE8" w:rsidRPr="00951009">
        <w:rPr>
          <w:rFonts w:ascii="Times New Roman" w:hAnsi="Times New Roman" w:cs="Times New Roman"/>
          <w:sz w:val="28"/>
          <w:szCs w:val="28"/>
        </w:rPr>
        <w:br/>
      </w:r>
      <w:r w:rsidRPr="00951009">
        <w:rPr>
          <w:rFonts w:ascii="Times New Roman" w:hAnsi="Times New Roman" w:cs="Times New Roman"/>
          <w:sz w:val="28"/>
          <w:szCs w:val="28"/>
        </w:rPr>
        <w:t>их проведения</w:t>
      </w:r>
      <w:r w:rsidR="00DB6897" w:rsidRPr="00951009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716EA7" w:rsidRDefault="00716EA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1306" w:rsidRPr="00951009" w:rsidRDefault="00711306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1665"/>
        <w:gridCol w:w="4252"/>
        <w:gridCol w:w="1418"/>
        <w:gridCol w:w="1582"/>
      </w:tblGrid>
      <w:tr w:rsidR="0008523A" w:rsidRPr="00951009" w:rsidTr="00942BFC">
        <w:tc>
          <w:tcPr>
            <w:tcW w:w="428" w:type="dxa"/>
            <w:vAlign w:val="center"/>
          </w:tcPr>
          <w:p w:rsidR="0008523A" w:rsidRPr="00951009" w:rsidRDefault="00951009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5" w:type="dxa"/>
            <w:vAlign w:val="center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Вид профилактического мероприятия</w:t>
            </w:r>
          </w:p>
        </w:tc>
        <w:tc>
          <w:tcPr>
            <w:tcW w:w="4252" w:type="dxa"/>
            <w:vAlign w:val="center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Срок реализации мероприятия</w:t>
            </w:r>
          </w:p>
        </w:tc>
        <w:tc>
          <w:tcPr>
            <w:tcW w:w="1582" w:type="dxa"/>
            <w:vAlign w:val="center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</w:tr>
      <w:tr w:rsidR="0008523A" w:rsidRPr="00951009" w:rsidTr="00942BFC">
        <w:tc>
          <w:tcPr>
            <w:tcW w:w="428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65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8523A" w:rsidRPr="00951009" w:rsidTr="00942BFC">
        <w:tc>
          <w:tcPr>
            <w:tcW w:w="428" w:type="dxa"/>
          </w:tcPr>
          <w:p w:rsidR="0008523A" w:rsidRPr="00951009" w:rsidRDefault="00942BFC" w:rsidP="00F761E0">
            <w:pPr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08523A" w:rsidRPr="00951009" w:rsidRDefault="0008523A" w:rsidP="00F761E0">
            <w:pPr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4252" w:type="dxa"/>
          </w:tcPr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Органа муниципального жилищного  контроля в информационно-телекоммуникационной сети «Интернет» следующих сведений: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тексты нормативных правовых актов, регулирующих осуществление муниципального жилищного контроля;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08523A" w:rsidRPr="00951009" w:rsidRDefault="0008523A" w:rsidP="00F761E0">
            <w:pPr>
              <w:rPr>
                <w:rFonts w:ascii="Times New Roman" w:hAnsi="Times New Roman" w:cs="Times New Roman"/>
              </w:rPr>
            </w:pPr>
          </w:p>
          <w:p w:rsidR="0008523A" w:rsidRPr="00951009" w:rsidRDefault="0008523A" w:rsidP="00F761E0">
            <w:pPr>
              <w:rPr>
                <w:rFonts w:ascii="Times New Roman" w:hAnsi="Times New Roman" w:cs="Times New Roman"/>
              </w:rPr>
            </w:pPr>
          </w:p>
          <w:p w:rsidR="0008523A" w:rsidRPr="00951009" w:rsidRDefault="0008523A" w:rsidP="00F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дня внесения   изменений в</w:t>
            </w:r>
          </w:p>
        </w:tc>
        <w:tc>
          <w:tcPr>
            <w:tcW w:w="1582" w:type="dxa"/>
          </w:tcPr>
          <w:p w:rsidR="0008523A" w:rsidRPr="00951009" w:rsidRDefault="0008523A" w:rsidP="00F761E0">
            <w:pPr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Должностные лица, определенные правовым актом руководителя Органа  муниципального жилищного контроля</w:t>
            </w:r>
          </w:p>
        </w:tc>
      </w:tr>
      <w:tr w:rsidR="0008523A" w:rsidRPr="00951009" w:rsidTr="00942BFC">
        <w:tc>
          <w:tcPr>
            <w:tcW w:w="428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665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08523A" w:rsidRPr="00951009" w:rsidRDefault="0008523A" w:rsidP="00942BFC">
            <w:pPr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8523A" w:rsidRPr="00951009" w:rsidTr="00942BFC">
        <w:trPr>
          <w:trHeight w:val="14196"/>
        </w:trPr>
        <w:tc>
          <w:tcPr>
            <w:tcW w:w="428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5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</w:tcPr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руководства по соблюдению обязательных требований;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индикаторов риска нарушения обязательных требований; 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порядок отнесения объектов контроля к категориям риска;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программа профилактики рисков причинения вреда;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план проведения плановых контрольных мероприятий на 2023 год;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исчерпывающий перечень сведений, которые могут запрашиваться Органом муниципального жилищного контроля у контролируемого лица;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доклад о муниципальном жилищном контроле;</w:t>
            </w:r>
          </w:p>
          <w:p w:rsidR="0008523A" w:rsidRPr="00951009" w:rsidRDefault="0008523A" w:rsidP="00F76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судебных решениях по исковым заявлениям Органа муниципального  жилищного контроля в соответствии со статьей 20 Жилищного кодекса Российской Федерации; 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 судебных решениях по оспариванию предписаний  Органа муниципального  жилищного контроля;</w:t>
            </w:r>
          </w:p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  <w:p w:rsidR="0008523A" w:rsidRPr="00951009" w:rsidRDefault="0008523A" w:rsidP="0094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8523A" w:rsidRPr="00951009" w:rsidRDefault="0008523A" w:rsidP="00942B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дня утверждения </w:t>
            </w: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FC" w:rsidRPr="00951009" w:rsidRDefault="00942BFC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FC" w:rsidRPr="00951009" w:rsidRDefault="00942BFC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42BFC" w:rsidRPr="00951009" w:rsidRDefault="00942BFC" w:rsidP="00942BF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lang w:eastAsia="ru-RU"/>
              </w:rPr>
            </w:pPr>
            <w:r w:rsidRPr="00951009">
              <w:rPr>
                <w:rFonts w:ascii="Times New Roman" w:hAnsi="Times New Roman" w:cs="Times New Roman"/>
                <w:lang w:eastAsia="ru-RU"/>
              </w:rPr>
              <w:t>15.03.2022</w:t>
            </w:r>
          </w:p>
          <w:p w:rsidR="00942BFC" w:rsidRPr="00951009" w:rsidRDefault="00942BFC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FC" w:rsidRPr="00951009" w:rsidRDefault="00942BFC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39" w:rsidRDefault="002B0C39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23A" w:rsidRPr="00951009" w:rsidTr="00942BFC">
        <w:tc>
          <w:tcPr>
            <w:tcW w:w="428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665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08523A" w:rsidRPr="00951009" w:rsidRDefault="0008523A" w:rsidP="00942BFC">
            <w:pPr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8523A" w:rsidRPr="00951009" w:rsidTr="00942BFC">
        <w:tc>
          <w:tcPr>
            <w:tcW w:w="428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5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</w:tcPr>
          <w:p w:rsidR="0008523A" w:rsidRPr="00951009" w:rsidRDefault="00942BFC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исполнении </w:t>
            </w:r>
            <w:r w:rsidR="0008523A" w:rsidRPr="00951009">
              <w:rPr>
                <w:rFonts w:ascii="Times New Roman" w:hAnsi="Times New Roman" w:cs="Times New Roman"/>
                <w:sz w:val="24"/>
                <w:szCs w:val="24"/>
              </w:rPr>
              <w:t>предписаний Органа муниципального жилищного контроля;</w:t>
            </w: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sz w:val="20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 привлечении контролируемых лиц к административной ответственности</w:t>
            </w:r>
          </w:p>
        </w:tc>
        <w:tc>
          <w:tcPr>
            <w:tcW w:w="1418" w:type="dxa"/>
          </w:tcPr>
          <w:p w:rsidR="0008523A" w:rsidRPr="00951009" w:rsidRDefault="00942BFC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08523A" w:rsidRPr="0095100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sz w:val="20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23A" w:rsidRPr="00951009" w:rsidTr="00942BFC">
        <w:tc>
          <w:tcPr>
            <w:tcW w:w="428" w:type="dxa"/>
          </w:tcPr>
          <w:p w:rsidR="0008523A" w:rsidRPr="00951009" w:rsidRDefault="00942BFC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65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4252" w:type="dxa"/>
          </w:tcPr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Направление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418" w:type="dxa"/>
          </w:tcPr>
          <w:p w:rsidR="0008523A" w:rsidRPr="00951009" w:rsidRDefault="0008523A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58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жилищного контроля</w:t>
            </w:r>
          </w:p>
        </w:tc>
      </w:tr>
      <w:tr w:rsidR="0008523A" w:rsidRPr="00951009" w:rsidTr="00942BFC">
        <w:tc>
          <w:tcPr>
            <w:tcW w:w="428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65" w:type="dxa"/>
          </w:tcPr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</w:t>
            </w:r>
          </w:p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в устной и письменной формах по следующим вопросам: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профилактических, контрольных мероприятий.</w:t>
            </w:r>
          </w:p>
          <w:p w:rsidR="0008523A" w:rsidRPr="00951009" w:rsidRDefault="0008523A" w:rsidP="00F76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Способы консультирования: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418" w:type="dxa"/>
          </w:tcPr>
          <w:p w:rsidR="0008523A" w:rsidRPr="00951009" w:rsidRDefault="0008523A" w:rsidP="0094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8523A" w:rsidRPr="00951009" w:rsidRDefault="0008523A" w:rsidP="0094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8523A" w:rsidRPr="00951009" w:rsidRDefault="0008523A" w:rsidP="00F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жилищного контроля</w:t>
            </w:r>
          </w:p>
        </w:tc>
      </w:tr>
    </w:tbl>
    <w:p w:rsidR="0008523A" w:rsidRDefault="0008523A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4F84" w:rsidRPr="00951009" w:rsidRDefault="00254F84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AE8" w:rsidRPr="00951009" w:rsidRDefault="006A3C7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B6897" w:rsidRPr="00951009">
        <w:rPr>
          <w:rFonts w:ascii="Times New Roman" w:hAnsi="Times New Roman" w:cs="Times New Roman"/>
          <w:sz w:val="28"/>
          <w:szCs w:val="28"/>
        </w:rPr>
        <w:t>5</w:t>
      </w:r>
      <w:r w:rsidRPr="00951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172" w:rsidRPr="00951009" w:rsidRDefault="006A3C7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</w:t>
      </w:r>
      <w:r w:rsidR="00F55986" w:rsidRPr="00951009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254F84" w:rsidRDefault="00254F84" w:rsidP="008B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4"/>
        <w:gridCol w:w="7310"/>
        <w:gridCol w:w="1551"/>
      </w:tblGrid>
      <w:tr w:rsidR="00254F84" w:rsidTr="00254F84">
        <w:tc>
          <w:tcPr>
            <w:tcW w:w="484" w:type="dxa"/>
            <w:vAlign w:val="center"/>
          </w:tcPr>
          <w:p w:rsidR="00254F84" w:rsidRDefault="00254F84" w:rsidP="00254F84">
            <w:pPr>
              <w:jc w:val="center"/>
            </w:pPr>
            <w:r w:rsidRPr="009510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10" w:type="dxa"/>
            <w:vAlign w:val="center"/>
          </w:tcPr>
          <w:p w:rsidR="00254F84" w:rsidRDefault="00254F84" w:rsidP="00254F84">
            <w:pPr>
              <w:jc w:val="center"/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1" w:type="dxa"/>
            <w:vAlign w:val="center"/>
          </w:tcPr>
          <w:p w:rsidR="00254F84" w:rsidRDefault="00254F84" w:rsidP="00254F84">
            <w:pPr>
              <w:jc w:val="center"/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254F84" w:rsidTr="00F761E0">
        <w:tc>
          <w:tcPr>
            <w:tcW w:w="484" w:type="dxa"/>
          </w:tcPr>
          <w:p w:rsidR="00254F84" w:rsidRDefault="00254F84" w:rsidP="00254F84">
            <w:pPr>
              <w:jc w:val="center"/>
            </w:pPr>
            <w:r w:rsidRPr="00B12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0" w:type="dxa"/>
          </w:tcPr>
          <w:p w:rsidR="00254F84" w:rsidRDefault="00254F84" w:rsidP="00254F84">
            <w:pPr>
              <w:jc w:val="center"/>
            </w:pPr>
            <w:r w:rsidRPr="00B12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</w:tcPr>
          <w:p w:rsidR="00254F84" w:rsidRDefault="00254F84" w:rsidP="00254F84">
            <w:pPr>
              <w:jc w:val="center"/>
            </w:pPr>
            <w:r w:rsidRPr="00B12DA3">
              <w:rPr>
                <w:rFonts w:ascii="Times New Roman" w:hAnsi="Times New Roman" w:cs="Times New Roman"/>
              </w:rPr>
              <w:t>3</w:t>
            </w:r>
          </w:p>
        </w:tc>
      </w:tr>
      <w:tr w:rsidR="00254F84" w:rsidRPr="00254F84" w:rsidTr="00F761E0">
        <w:tc>
          <w:tcPr>
            <w:tcW w:w="484" w:type="dxa"/>
          </w:tcPr>
          <w:p w:rsidR="00254F84" w:rsidRPr="00254F84" w:rsidRDefault="00254F84" w:rsidP="00F761E0">
            <w:pPr>
              <w:rPr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254F84" w:rsidRPr="00254F84" w:rsidRDefault="00254F84" w:rsidP="00F761E0">
            <w:pPr>
              <w:rPr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Органа муниципального жилищного контроля в информационно-телекоммуникационной сети «Интернет»  в соответствии с частью 3 статьи 46 Федерального закона от 31 июля 2021 г. № 248-ФЗ </w:t>
            </w:r>
            <w:r w:rsidRPr="00254F84">
              <w:rPr>
                <w:rFonts w:ascii="Times New Roman" w:hAnsi="Times New Roman" w:cs="Times New Roman"/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1" w:type="dxa"/>
          </w:tcPr>
          <w:p w:rsidR="00254F84" w:rsidRPr="00254F84" w:rsidRDefault="00254F84" w:rsidP="00254F84">
            <w:pPr>
              <w:jc w:val="center"/>
              <w:rPr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4F84" w:rsidRPr="00254F84" w:rsidTr="00F761E0">
        <w:tc>
          <w:tcPr>
            <w:tcW w:w="484" w:type="dxa"/>
          </w:tcPr>
          <w:p w:rsidR="00254F84" w:rsidRPr="00254F84" w:rsidRDefault="00254F84" w:rsidP="00F761E0">
            <w:pPr>
              <w:rPr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254F84" w:rsidRPr="00254F84" w:rsidRDefault="00254F84" w:rsidP="00F761E0">
            <w:pPr>
              <w:rPr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контролируемыми лицами объявленных предостережений о недопустимости нарушения обязательных требований от общего числа объявленных предостережений </w:t>
            </w:r>
          </w:p>
        </w:tc>
        <w:tc>
          <w:tcPr>
            <w:tcW w:w="1551" w:type="dxa"/>
          </w:tcPr>
          <w:p w:rsidR="00254F84" w:rsidRPr="00254F84" w:rsidRDefault="00254F84" w:rsidP="00254F84">
            <w:pPr>
              <w:jc w:val="center"/>
              <w:rPr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</w:tr>
    </w:tbl>
    <w:p w:rsidR="00254F84" w:rsidRPr="00254F84" w:rsidRDefault="00254F84" w:rsidP="008B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84" w:rsidRPr="00254F84" w:rsidRDefault="00254F84" w:rsidP="008B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582"/>
      </w:tblGrid>
      <w:tr w:rsidR="00254F84" w:rsidRPr="00254F84" w:rsidTr="00254F84">
        <w:tc>
          <w:tcPr>
            <w:tcW w:w="534" w:type="dxa"/>
          </w:tcPr>
          <w:p w:rsidR="00254F84" w:rsidRPr="00254F84" w:rsidRDefault="00254F84" w:rsidP="00F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54F84" w:rsidRPr="00254F84" w:rsidRDefault="00254F84" w:rsidP="00F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254F84" w:rsidRPr="00254F84" w:rsidRDefault="00254F84" w:rsidP="00F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F84" w:rsidRPr="00254F84" w:rsidTr="00254F84">
        <w:tc>
          <w:tcPr>
            <w:tcW w:w="534" w:type="dxa"/>
          </w:tcPr>
          <w:p w:rsidR="00254F84" w:rsidRPr="00254F84" w:rsidRDefault="00254F84" w:rsidP="00F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54F84" w:rsidRPr="00254F84" w:rsidRDefault="00254F84" w:rsidP="0025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контролируемыми лицами объявленных предостережений </w:t>
            </w:r>
            <w:r w:rsidRPr="00254F84">
              <w:rPr>
                <w:rFonts w:ascii="Times New Roman" w:hAnsi="Times New Roman" w:cs="Times New Roman"/>
                <w:sz w:val="24"/>
                <w:szCs w:val="24"/>
              </w:rPr>
              <w:br/>
              <w:t>о недопустимости нарушения обязательных требований от общего числа объявленных предостережений</w:t>
            </w:r>
          </w:p>
        </w:tc>
        <w:tc>
          <w:tcPr>
            <w:tcW w:w="1582" w:type="dxa"/>
          </w:tcPr>
          <w:p w:rsidR="00254F84" w:rsidRPr="00254F84" w:rsidRDefault="00254F84" w:rsidP="00F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  <w:tr w:rsidR="00254F84" w:rsidRPr="00254F84" w:rsidTr="00254F84">
        <w:tc>
          <w:tcPr>
            <w:tcW w:w="534" w:type="dxa"/>
          </w:tcPr>
          <w:p w:rsidR="00254F84" w:rsidRPr="00254F84" w:rsidRDefault="00254F84" w:rsidP="00F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54F84" w:rsidRPr="00254F84" w:rsidRDefault="00254F84" w:rsidP="0025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582" w:type="dxa"/>
          </w:tcPr>
          <w:p w:rsidR="00254F84" w:rsidRPr="00254F84" w:rsidRDefault="00254F84" w:rsidP="00F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254F84" w:rsidRPr="00951009" w:rsidRDefault="00254F84" w:rsidP="008B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4F84" w:rsidRPr="00951009" w:rsidSect="007C6157">
      <w:footerReference w:type="default" r:id="rId10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CFF" w:rsidRDefault="00B60CFF" w:rsidP="009075C3">
      <w:pPr>
        <w:spacing w:after="0" w:line="240" w:lineRule="auto"/>
      </w:pPr>
      <w:r>
        <w:separator/>
      </w:r>
    </w:p>
  </w:endnote>
  <w:endnote w:type="continuationSeparator" w:id="0">
    <w:p w:rsidR="00B60CFF" w:rsidRDefault="00B60CFF" w:rsidP="0090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841347"/>
      <w:docPartObj>
        <w:docPartGallery w:val="Page Numbers (Bottom of Page)"/>
        <w:docPartUnique/>
      </w:docPartObj>
    </w:sdtPr>
    <w:sdtEndPr/>
    <w:sdtContent>
      <w:p w:rsidR="003C0D41" w:rsidRDefault="003C0D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06">
          <w:rPr>
            <w:noProof/>
          </w:rPr>
          <w:t>10</w:t>
        </w:r>
        <w:r>
          <w:fldChar w:fldCharType="end"/>
        </w:r>
      </w:p>
    </w:sdtContent>
  </w:sdt>
  <w:p w:rsidR="003C0D41" w:rsidRDefault="003C0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CFF" w:rsidRDefault="00B60CFF" w:rsidP="009075C3">
      <w:pPr>
        <w:spacing w:after="0" w:line="240" w:lineRule="auto"/>
      </w:pPr>
      <w:r>
        <w:separator/>
      </w:r>
    </w:p>
  </w:footnote>
  <w:footnote w:type="continuationSeparator" w:id="0">
    <w:p w:rsidR="00B60CFF" w:rsidRDefault="00B60CFF" w:rsidP="0090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66C"/>
    <w:multiLevelType w:val="hybridMultilevel"/>
    <w:tmpl w:val="F02A1116"/>
    <w:lvl w:ilvl="0" w:tplc="812AC6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E3088"/>
    <w:multiLevelType w:val="hybridMultilevel"/>
    <w:tmpl w:val="5AFAA8F6"/>
    <w:lvl w:ilvl="0" w:tplc="3F1A1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2F040E"/>
    <w:multiLevelType w:val="hybridMultilevel"/>
    <w:tmpl w:val="8BB4EFDE"/>
    <w:lvl w:ilvl="0" w:tplc="DCB0C4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F56DBC"/>
    <w:multiLevelType w:val="hybridMultilevel"/>
    <w:tmpl w:val="A9F00C02"/>
    <w:lvl w:ilvl="0" w:tplc="3152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80CCF"/>
    <w:multiLevelType w:val="multilevel"/>
    <w:tmpl w:val="A6D4B5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A86873"/>
    <w:multiLevelType w:val="hybridMultilevel"/>
    <w:tmpl w:val="F83A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64"/>
    <w:rsid w:val="000018C4"/>
    <w:rsid w:val="00002329"/>
    <w:rsid w:val="00003FF1"/>
    <w:rsid w:val="0003430E"/>
    <w:rsid w:val="000377F9"/>
    <w:rsid w:val="00044FF9"/>
    <w:rsid w:val="0005158E"/>
    <w:rsid w:val="00057318"/>
    <w:rsid w:val="00057613"/>
    <w:rsid w:val="00072208"/>
    <w:rsid w:val="000766D1"/>
    <w:rsid w:val="0008523A"/>
    <w:rsid w:val="00085741"/>
    <w:rsid w:val="000956E4"/>
    <w:rsid w:val="0009660E"/>
    <w:rsid w:val="000A0E2C"/>
    <w:rsid w:val="000A16DB"/>
    <w:rsid w:val="000B07CC"/>
    <w:rsid w:val="000B3C36"/>
    <w:rsid w:val="000C31FB"/>
    <w:rsid w:val="000E299E"/>
    <w:rsid w:val="000E38F3"/>
    <w:rsid w:val="000E4648"/>
    <w:rsid w:val="000F5172"/>
    <w:rsid w:val="00104B34"/>
    <w:rsid w:val="00106F96"/>
    <w:rsid w:val="00110C8D"/>
    <w:rsid w:val="0011198C"/>
    <w:rsid w:val="001137F0"/>
    <w:rsid w:val="00115BBE"/>
    <w:rsid w:val="00135251"/>
    <w:rsid w:val="00136827"/>
    <w:rsid w:val="001415CB"/>
    <w:rsid w:val="00142A23"/>
    <w:rsid w:val="001536CA"/>
    <w:rsid w:val="00156834"/>
    <w:rsid w:val="001675E3"/>
    <w:rsid w:val="00175797"/>
    <w:rsid w:val="00177603"/>
    <w:rsid w:val="00184F56"/>
    <w:rsid w:val="00185B6E"/>
    <w:rsid w:val="001A717D"/>
    <w:rsid w:val="001B1BE5"/>
    <w:rsid w:val="001C223D"/>
    <w:rsid w:val="001D4841"/>
    <w:rsid w:val="001D5D7D"/>
    <w:rsid w:val="001D6B82"/>
    <w:rsid w:val="001E2450"/>
    <w:rsid w:val="001E44C1"/>
    <w:rsid w:val="001E5469"/>
    <w:rsid w:val="001F2862"/>
    <w:rsid w:val="001F7065"/>
    <w:rsid w:val="0020640D"/>
    <w:rsid w:val="00210F58"/>
    <w:rsid w:val="00237D7E"/>
    <w:rsid w:val="00242D7D"/>
    <w:rsid w:val="002527FD"/>
    <w:rsid w:val="00254F84"/>
    <w:rsid w:val="00262C18"/>
    <w:rsid w:val="0026546F"/>
    <w:rsid w:val="002725B1"/>
    <w:rsid w:val="00291FBF"/>
    <w:rsid w:val="00292A45"/>
    <w:rsid w:val="00294C6C"/>
    <w:rsid w:val="002B0C39"/>
    <w:rsid w:val="002B5ADC"/>
    <w:rsid w:val="002C423C"/>
    <w:rsid w:val="002D2400"/>
    <w:rsid w:val="002D385A"/>
    <w:rsid w:val="002D4F18"/>
    <w:rsid w:val="002D63F7"/>
    <w:rsid w:val="00300B3E"/>
    <w:rsid w:val="003142DE"/>
    <w:rsid w:val="00315AE8"/>
    <w:rsid w:val="00317C65"/>
    <w:rsid w:val="003327DF"/>
    <w:rsid w:val="00350B43"/>
    <w:rsid w:val="00363F2A"/>
    <w:rsid w:val="0037340E"/>
    <w:rsid w:val="0038703E"/>
    <w:rsid w:val="003B2FEA"/>
    <w:rsid w:val="003B5877"/>
    <w:rsid w:val="003C0D41"/>
    <w:rsid w:val="003C1E77"/>
    <w:rsid w:val="003C73DB"/>
    <w:rsid w:val="003F3D0D"/>
    <w:rsid w:val="003F5981"/>
    <w:rsid w:val="00410976"/>
    <w:rsid w:val="00411C72"/>
    <w:rsid w:val="00426D77"/>
    <w:rsid w:val="004328BE"/>
    <w:rsid w:val="004356F0"/>
    <w:rsid w:val="00440047"/>
    <w:rsid w:val="00451829"/>
    <w:rsid w:val="004529AB"/>
    <w:rsid w:val="00487606"/>
    <w:rsid w:val="00492390"/>
    <w:rsid w:val="00493380"/>
    <w:rsid w:val="004976A9"/>
    <w:rsid w:val="004A2E67"/>
    <w:rsid w:val="004A53D4"/>
    <w:rsid w:val="004C0435"/>
    <w:rsid w:val="004C19B3"/>
    <w:rsid w:val="004D3706"/>
    <w:rsid w:val="004E1E7D"/>
    <w:rsid w:val="004E63A8"/>
    <w:rsid w:val="004E6EF3"/>
    <w:rsid w:val="004F59C7"/>
    <w:rsid w:val="00501556"/>
    <w:rsid w:val="005052C4"/>
    <w:rsid w:val="00530DBD"/>
    <w:rsid w:val="005346DB"/>
    <w:rsid w:val="00535F2E"/>
    <w:rsid w:val="00541C36"/>
    <w:rsid w:val="00551F2F"/>
    <w:rsid w:val="00556BB4"/>
    <w:rsid w:val="0058386D"/>
    <w:rsid w:val="005A4AA8"/>
    <w:rsid w:val="005C6FBD"/>
    <w:rsid w:val="005D4017"/>
    <w:rsid w:val="005D44C1"/>
    <w:rsid w:val="005E3BEE"/>
    <w:rsid w:val="006030D6"/>
    <w:rsid w:val="0061062D"/>
    <w:rsid w:val="006167B3"/>
    <w:rsid w:val="00633938"/>
    <w:rsid w:val="006349E9"/>
    <w:rsid w:val="00634AE4"/>
    <w:rsid w:val="00645F01"/>
    <w:rsid w:val="00653E12"/>
    <w:rsid w:val="00655187"/>
    <w:rsid w:val="0069373E"/>
    <w:rsid w:val="006A1510"/>
    <w:rsid w:val="006A1C88"/>
    <w:rsid w:val="006A3C77"/>
    <w:rsid w:val="006A4C92"/>
    <w:rsid w:val="006B3F7B"/>
    <w:rsid w:val="006C71AE"/>
    <w:rsid w:val="006D0275"/>
    <w:rsid w:val="006D2653"/>
    <w:rsid w:val="006E7BED"/>
    <w:rsid w:val="00711306"/>
    <w:rsid w:val="00716EA7"/>
    <w:rsid w:val="00722CA8"/>
    <w:rsid w:val="00733204"/>
    <w:rsid w:val="00737801"/>
    <w:rsid w:val="00743219"/>
    <w:rsid w:val="0074596E"/>
    <w:rsid w:val="00763ADB"/>
    <w:rsid w:val="007653B0"/>
    <w:rsid w:val="00772FBC"/>
    <w:rsid w:val="00774C72"/>
    <w:rsid w:val="007A6BC3"/>
    <w:rsid w:val="007A6CBA"/>
    <w:rsid w:val="007A7330"/>
    <w:rsid w:val="007A7504"/>
    <w:rsid w:val="007B13C8"/>
    <w:rsid w:val="007C6157"/>
    <w:rsid w:val="007D2840"/>
    <w:rsid w:val="007D4D0B"/>
    <w:rsid w:val="007E3BAC"/>
    <w:rsid w:val="007F7C58"/>
    <w:rsid w:val="00807565"/>
    <w:rsid w:val="00810781"/>
    <w:rsid w:val="00810DD7"/>
    <w:rsid w:val="00816D25"/>
    <w:rsid w:val="0082262E"/>
    <w:rsid w:val="00826D89"/>
    <w:rsid w:val="0083516E"/>
    <w:rsid w:val="00843150"/>
    <w:rsid w:val="008544A3"/>
    <w:rsid w:val="008670FE"/>
    <w:rsid w:val="00870272"/>
    <w:rsid w:val="00875670"/>
    <w:rsid w:val="00890731"/>
    <w:rsid w:val="008B3E2D"/>
    <w:rsid w:val="008B538D"/>
    <w:rsid w:val="008B6ADA"/>
    <w:rsid w:val="008D5982"/>
    <w:rsid w:val="008D5FFA"/>
    <w:rsid w:val="008E3133"/>
    <w:rsid w:val="008E530D"/>
    <w:rsid w:val="008F0428"/>
    <w:rsid w:val="008F300B"/>
    <w:rsid w:val="008F4DB5"/>
    <w:rsid w:val="008F7178"/>
    <w:rsid w:val="00905213"/>
    <w:rsid w:val="009075C3"/>
    <w:rsid w:val="00926A59"/>
    <w:rsid w:val="00932576"/>
    <w:rsid w:val="0093688B"/>
    <w:rsid w:val="00942BFC"/>
    <w:rsid w:val="00945E7B"/>
    <w:rsid w:val="00951009"/>
    <w:rsid w:val="00974E8F"/>
    <w:rsid w:val="00981146"/>
    <w:rsid w:val="00985B67"/>
    <w:rsid w:val="00990453"/>
    <w:rsid w:val="00996FEC"/>
    <w:rsid w:val="009B1AE0"/>
    <w:rsid w:val="009B262D"/>
    <w:rsid w:val="009B26C9"/>
    <w:rsid w:val="009B490D"/>
    <w:rsid w:val="009D4259"/>
    <w:rsid w:val="009D566C"/>
    <w:rsid w:val="009F1B67"/>
    <w:rsid w:val="00A02729"/>
    <w:rsid w:val="00A03AF4"/>
    <w:rsid w:val="00A04538"/>
    <w:rsid w:val="00A315A0"/>
    <w:rsid w:val="00A33219"/>
    <w:rsid w:val="00A46648"/>
    <w:rsid w:val="00A46BED"/>
    <w:rsid w:val="00A57B77"/>
    <w:rsid w:val="00A62E8E"/>
    <w:rsid w:val="00A64C1A"/>
    <w:rsid w:val="00A7467C"/>
    <w:rsid w:val="00A820F7"/>
    <w:rsid w:val="00AA435C"/>
    <w:rsid w:val="00AB1BA0"/>
    <w:rsid w:val="00AD00A8"/>
    <w:rsid w:val="00AD5243"/>
    <w:rsid w:val="00AF06FC"/>
    <w:rsid w:val="00B01CB1"/>
    <w:rsid w:val="00B16C5E"/>
    <w:rsid w:val="00B30FEB"/>
    <w:rsid w:val="00B311B3"/>
    <w:rsid w:val="00B413C0"/>
    <w:rsid w:val="00B57749"/>
    <w:rsid w:val="00B57B6D"/>
    <w:rsid w:val="00B57F7D"/>
    <w:rsid w:val="00B60CFF"/>
    <w:rsid w:val="00B94EDD"/>
    <w:rsid w:val="00BA225A"/>
    <w:rsid w:val="00BA33DB"/>
    <w:rsid w:val="00BA4FA7"/>
    <w:rsid w:val="00BA7674"/>
    <w:rsid w:val="00BC0567"/>
    <w:rsid w:val="00BC3A42"/>
    <w:rsid w:val="00BC52B6"/>
    <w:rsid w:val="00BD03AD"/>
    <w:rsid w:val="00BD13E2"/>
    <w:rsid w:val="00BD4C51"/>
    <w:rsid w:val="00BD7863"/>
    <w:rsid w:val="00BE2BCC"/>
    <w:rsid w:val="00BF357E"/>
    <w:rsid w:val="00C0284B"/>
    <w:rsid w:val="00C15204"/>
    <w:rsid w:val="00C229C4"/>
    <w:rsid w:val="00C42F58"/>
    <w:rsid w:val="00C4461F"/>
    <w:rsid w:val="00C50B3E"/>
    <w:rsid w:val="00C51B15"/>
    <w:rsid w:val="00C64C71"/>
    <w:rsid w:val="00C7019F"/>
    <w:rsid w:val="00C7132B"/>
    <w:rsid w:val="00C72D6A"/>
    <w:rsid w:val="00C73BD4"/>
    <w:rsid w:val="00C85CFA"/>
    <w:rsid w:val="00C94AB7"/>
    <w:rsid w:val="00CB0107"/>
    <w:rsid w:val="00CB44F9"/>
    <w:rsid w:val="00CC4AE6"/>
    <w:rsid w:val="00CD1C41"/>
    <w:rsid w:val="00CD20AA"/>
    <w:rsid w:val="00CF0ECB"/>
    <w:rsid w:val="00CF18BF"/>
    <w:rsid w:val="00CF592A"/>
    <w:rsid w:val="00D24A64"/>
    <w:rsid w:val="00D27390"/>
    <w:rsid w:val="00D45254"/>
    <w:rsid w:val="00D54DC6"/>
    <w:rsid w:val="00D57EF7"/>
    <w:rsid w:val="00D6603C"/>
    <w:rsid w:val="00D73226"/>
    <w:rsid w:val="00D919CE"/>
    <w:rsid w:val="00D95D0E"/>
    <w:rsid w:val="00DA342C"/>
    <w:rsid w:val="00DA6966"/>
    <w:rsid w:val="00DA73B8"/>
    <w:rsid w:val="00DA7BFD"/>
    <w:rsid w:val="00DB610A"/>
    <w:rsid w:val="00DB6897"/>
    <w:rsid w:val="00DC0AF5"/>
    <w:rsid w:val="00DD2EAF"/>
    <w:rsid w:val="00DD62B0"/>
    <w:rsid w:val="00DF3733"/>
    <w:rsid w:val="00E012CD"/>
    <w:rsid w:val="00E01AE1"/>
    <w:rsid w:val="00E07FDB"/>
    <w:rsid w:val="00E136E6"/>
    <w:rsid w:val="00E14946"/>
    <w:rsid w:val="00E21FA7"/>
    <w:rsid w:val="00E267A0"/>
    <w:rsid w:val="00E374B7"/>
    <w:rsid w:val="00E41506"/>
    <w:rsid w:val="00E54F1C"/>
    <w:rsid w:val="00E619C3"/>
    <w:rsid w:val="00E62164"/>
    <w:rsid w:val="00E63377"/>
    <w:rsid w:val="00E66202"/>
    <w:rsid w:val="00E86F8E"/>
    <w:rsid w:val="00E97A04"/>
    <w:rsid w:val="00EA592C"/>
    <w:rsid w:val="00EC3794"/>
    <w:rsid w:val="00ED76DF"/>
    <w:rsid w:val="00EF3C00"/>
    <w:rsid w:val="00F2174D"/>
    <w:rsid w:val="00F225EB"/>
    <w:rsid w:val="00F25618"/>
    <w:rsid w:val="00F55986"/>
    <w:rsid w:val="00F611E8"/>
    <w:rsid w:val="00F753E3"/>
    <w:rsid w:val="00F8409C"/>
    <w:rsid w:val="00F91211"/>
    <w:rsid w:val="00F9138E"/>
    <w:rsid w:val="00F95C75"/>
    <w:rsid w:val="00F96625"/>
    <w:rsid w:val="00FB39AC"/>
    <w:rsid w:val="00FB4040"/>
    <w:rsid w:val="00FB40AD"/>
    <w:rsid w:val="00FC2430"/>
    <w:rsid w:val="00FC524D"/>
    <w:rsid w:val="00FD06FE"/>
    <w:rsid w:val="00FD69DC"/>
    <w:rsid w:val="00FD6B03"/>
    <w:rsid w:val="00FD7FFA"/>
    <w:rsid w:val="00FE2169"/>
    <w:rsid w:val="00FE2E85"/>
    <w:rsid w:val="00FE3873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AAF1"/>
  <w15:docId w15:val="{669A7FEA-169D-4436-9F17-E59E770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4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E85"/>
  </w:style>
  <w:style w:type="character" w:styleId="a5">
    <w:name w:val="Emphasis"/>
    <w:basedOn w:val="a0"/>
    <w:uiPriority w:val="20"/>
    <w:qFormat/>
    <w:rsid w:val="00FE2E85"/>
    <w:rPr>
      <w:i/>
      <w:iCs/>
    </w:rPr>
  </w:style>
  <w:style w:type="paragraph" w:styleId="a6">
    <w:name w:val="header"/>
    <w:basedOn w:val="a"/>
    <w:link w:val="a7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C3"/>
  </w:style>
  <w:style w:type="paragraph" w:styleId="a8">
    <w:name w:val="footer"/>
    <w:basedOn w:val="a"/>
    <w:link w:val="a9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C3"/>
  </w:style>
  <w:style w:type="paragraph" w:styleId="aa">
    <w:name w:val="Balloon Text"/>
    <w:basedOn w:val="a"/>
    <w:link w:val="ab"/>
    <w:uiPriority w:val="99"/>
    <w:semiHidden/>
    <w:unhideWhenUsed/>
    <w:rsid w:val="001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15A0"/>
    <w:pPr>
      <w:ind w:left="720"/>
      <w:contextualSpacing/>
    </w:pPr>
  </w:style>
  <w:style w:type="table" w:styleId="ad">
    <w:name w:val="Table Grid"/>
    <w:basedOn w:val="a1"/>
    <w:uiPriority w:val="39"/>
    <w:rsid w:val="0063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64C1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C4461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44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5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295E205D9BE7371BB5BB1C49BF273C34E803FFBDFDCB753606F180B15E5F3F3A63341E5F9EFF80588F0ECDD1E9F2DD1789CB0E04C923CHCm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2295E205D9BE7371BB5BB1C49BF273C3438A3AFADCDCB753606F180B15E5F3F3A63342E1FFE4AE5CC7F1B098498C2CD4789EB7FCH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Вероника Сергеевна</dc:creator>
  <cp:keywords/>
  <dc:description/>
  <cp:lastModifiedBy>Путилова Олеся Анатольевна</cp:lastModifiedBy>
  <cp:revision>3</cp:revision>
  <cp:lastPrinted>2022-03-21T07:01:00Z</cp:lastPrinted>
  <dcterms:created xsi:type="dcterms:W3CDTF">2022-03-21T07:03:00Z</dcterms:created>
  <dcterms:modified xsi:type="dcterms:W3CDTF">2022-03-21T07:07:00Z</dcterms:modified>
</cp:coreProperties>
</file>