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995723" w:rsidP="009E1DC9">
                            <w:pPr>
                              <w:jc w:val="right"/>
                              <w:rPr>
                                <w:sz w:val="28"/>
                                <w:szCs w:val="28"/>
                                <w:u w:val="single"/>
                              </w:rPr>
                            </w:pPr>
                            <w:r>
                              <w:rPr>
                                <w:sz w:val="28"/>
                                <w:szCs w:val="28"/>
                                <w:u w:val="single"/>
                              </w:rPr>
                              <w:t>№</w:t>
                            </w:r>
                            <w:r w:rsidR="00CE3861">
                              <w:rPr>
                                <w:sz w:val="28"/>
                                <w:szCs w:val="28"/>
                                <w:u w:val="single"/>
                              </w:rPr>
                              <w:t xml:space="preserve"> 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995723" w:rsidP="009E1DC9">
                      <w:pPr>
                        <w:jc w:val="right"/>
                        <w:rPr>
                          <w:sz w:val="28"/>
                          <w:szCs w:val="28"/>
                          <w:u w:val="single"/>
                        </w:rPr>
                      </w:pPr>
                      <w:r>
                        <w:rPr>
                          <w:sz w:val="28"/>
                          <w:szCs w:val="28"/>
                          <w:u w:val="single"/>
                        </w:rPr>
                        <w:t>№</w:t>
                      </w:r>
                      <w:r w:rsidR="00CE3861">
                        <w:rPr>
                          <w:sz w:val="28"/>
                          <w:szCs w:val="28"/>
                          <w:u w:val="single"/>
                        </w:rPr>
                        <w:t xml:space="preserve"> 121</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995723" w:rsidP="009E1DC9">
                            <w:pPr>
                              <w:jc w:val="right"/>
                              <w:rPr>
                                <w:sz w:val="28"/>
                                <w:szCs w:val="28"/>
                                <w:u w:val="single"/>
                              </w:rPr>
                            </w:pPr>
                            <w:r>
                              <w:rPr>
                                <w:sz w:val="28"/>
                                <w:szCs w:val="28"/>
                                <w:u w:val="single"/>
                              </w:rPr>
                              <w:t>24.05.2022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995723" w:rsidP="009E1DC9">
                      <w:pPr>
                        <w:jc w:val="right"/>
                        <w:rPr>
                          <w:sz w:val="28"/>
                          <w:szCs w:val="28"/>
                          <w:u w:val="single"/>
                        </w:rPr>
                      </w:pPr>
                      <w:r>
                        <w:rPr>
                          <w:sz w:val="28"/>
                          <w:szCs w:val="28"/>
                          <w:u w:val="single"/>
                        </w:rPr>
                        <w:t>24.05.2022</w:t>
                      </w:r>
                    </w:p>
                  </w:txbxContent>
                </v:textbox>
              </v:shape>
            </w:pict>
          </mc:Fallback>
        </mc:AlternateContent>
      </w:r>
    </w:p>
    <w:p w:rsidR="0066009D" w:rsidRPr="009E1DC9" w:rsidRDefault="0066009D" w:rsidP="00025DB9">
      <w:pPr>
        <w:jc w:val="both"/>
        <w:rPr>
          <w:b/>
          <w:bCs/>
          <w:sz w:val="28"/>
          <w:szCs w:val="28"/>
        </w:rPr>
      </w:pPr>
    </w:p>
    <w:p w:rsidR="00DA5743" w:rsidRDefault="00DA5743" w:rsidP="00DA5743">
      <w:pPr>
        <w:widowControl w:val="0"/>
        <w:suppressAutoHyphens/>
        <w:spacing w:before="480" w:after="480"/>
        <w:jc w:val="center"/>
        <w:rPr>
          <w:rFonts w:eastAsia="Calibri"/>
          <w:b/>
          <w:bCs/>
          <w:sz w:val="28"/>
          <w:szCs w:val="28"/>
          <w:lang w:eastAsia="en-US"/>
        </w:rPr>
      </w:pPr>
      <w:r>
        <w:rPr>
          <w:rFonts w:eastAsia="Calibri"/>
          <w:b/>
          <w:sz w:val="28"/>
          <w:szCs w:val="28"/>
          <w:lang w:eastAsia="en-US"/>
        </w:rPr>
        <w:t>О внесении изменений в решение Пермской городской Думы от 21.12.2021 № 313 «О муниципальном жилищном контроле на территории города Перми»</w:t>
      </w:r>
    </w:p>
    <w:p w:rsidR="00DA5743" w:rsidRDefault="00DA5743" w:rsidP="00DA5743">
      <w:pPr>
        <w:widowControl w:val="0"/>
        <w:ind w:firstLine="709"/>
        <w:jc w:val="both"/>
        <w:rPr>
          <w:sz w:val="28"/>
          <w:szCs w:val="28"/>
        </w:rPr>
      </w:pPr>
      <w:r>
        <w:rPr>
          <w:sz w:val="28"/>
          <w:szCs w:val="28"/>
        </w:rPr>
        <w:t xml:space="preserve">В соответствии с Федеральным законом от 31.07.2020 </w:t>
      </w:r>
      <w:r>
        <w:rPr>
          <w:bCs/>
          <w:sz w:val="28"/>
          <w:szCs w:val="28"/>
          <w:lang w:eastAsia="zh-CN"/>
        </w:rPr>
        <w:t>№ 248-ФЗ «О государственном контроле (надзоре) и муниципальном контроле в Российской Федерации», Уставом города Перми</w:t>
      </w:r>
    </w:p>
    <w:p w:rsidR="00DA5743" w:rsidRDefault="00DA5743" w:rsidP="00DA5743">
      <w:pPr>
        <w:widowControl w:val="0"/>
        <w:spacing w:before="240" w:after="240"/>
        <w:jc w:val="center"/>
        <w:rPr>
          <w:b/>
          <w:spacing w:val="50"/>
          <w:sz w:val="28"/>
          <w:szCs w:val="28"/>
        </w:rPr>
      </w:pPr>
      <w:r>
        <w:rPr>
          <w:sz w:val="28"/>
          <w:szCs w:val="28"/>
        </w:rPr>
        <w:t xml:space="preserve">Пермская городская Дума </w:t>
      </w:r>
      <w:r>
        <w:rPr>
          <w:b/>
          <w:sz w:val="28"/>
          <w:szCs w:val="28"/>
        </w:rPr>
        <w:t>р е ш и л а</w:t>
      </w:r>
      <w:r>
        <w:rPr>
          <w:b/>
          <w:spacing w:val="50"/>
          <w:sz w:val="28"/>
          <w:szCs w:val="28"/>
        </w:rPr>
        <w:t>:</w:t>
      </w:r>
    </w:p>
    <w:p w:rsidR="00DA5743" w:rsidRDefault="00DA5743" w:rsidP="00DA5743">
      <w:pPr>
        <w:widowControl w:val="0"/>
        <w:ind w:firstLine="709"/>
        <w:jc w:val="both"/>
        <w:rPr>
          <w:sz w:val="28"/>
          <w:szCs w:val="28"/>
        </w:rPr>
      </w:pPr>
      <w:r>
        <w:rPr>
          <w:sz w:val="28"/>
          <w:szCs w:val="28"/>
        </w:rPr>
        <w:t>1. Внести в решение Пермской городской Думы от 21.12.2021 № 313 «О муниципальном жилищном контроле на территории города Перми» (в редакции решения Пермской городской Думы от 22.02.2022 № 38) изменения:</w:t>
      </w:r>
    </w:p>
    <w:p w:rsidR="00DA5743" w:rsidRDefault="00DA5743" w:rsidP="00DA5743">
      <w:pPr>
        <w:widowControl w:val="0"/>
        <w:ind w:firstLine="709"/>
        <w:jc w:val="both"/>
        <w:rPr>
          <w:sz w:val="28"/>
          <w:szCs w:val="28"/>
        </w:rPr>
      </w:pPr>
      <w:r>
        <w:rPr>
          <w:sz w:val="28"/>
          <w:szCs w:val="28"/>
        </w:rPr>
        <w:t>1.1 в Положении о муниципальном жилищном контроле на территории города Перми (приложение 1):</w:t>
      </w:r>
    </w:p>
    <w:p w:rsidR="00DA5743" w:rsidRDefault="00DA5743" w:rsidP="00DA5743">
      <w:pPr>
        <w:widowControl w:val="0"/>
        <w:ind w:firstLine="709"/>
        <w:jc w:val="both"/>
        <w:rPr>
          <w:sz w:val="28"/>
          <w:szCs w:val="28"/>
        </w:rPr>
      </w:pPr>
      <w:r>
        <w:rPr>
          <w:sz w:val="28"/>
          <w:szCs w:val="28"/>
        </w:rPr>
        <w:t>1.1.1 раздел 2 дополнить пунктами 2.15, 2.16 следующего содержания:</w:t>
      </w:r>
    </w:p>
    <w:p w:rsidR="00DA5743" w:rsidRDefault="00DA5743" w:rsidP="00DA5743">
      <w:pPr>
        <w:widowControl w:val="0"/>
        <w:ind w:firstLine="709"/>
        <w:jc w:val="both"/>
        <w:rPr>
          <w:sz w:val="28"/>
          <w:szCs w:val="28"/>
        </w:rPr>
      </w:pPr>
      <w:r>
        <w:rPr>
          <w:sz w:val="28"/>
          <w:szCs w:val="28"/>
        </w:rPr>
        <w:t xml:space="preserve">«2.15. В целях оценки риска причинения вреда (ущерба) охраняемым законом ценностям устанавливаются следующие индикаторы риска нарушения обязательных требований, соответствие которым является основанием для проведения внепланового контрольного мероприятия: </w:t>
      </w:r>
    </w:p>
    <w:p w:rsidR="00DA5743" w:rsidRDefault="00DA5743" w:rsidP="00DA5743">
      <w:pPr>
        <w:widowControl w:val="0"/>
        <w:ind w:firstLine="709"/>
        <w:jc w:val="both"/>
        <w:rPr>
          <w:sz w:val="28"/>
          <w:szCs w:val="28"/>
        </w:rPr>
      </w:pPr>
      <w:r>
        <w:rPr>
          <w:sz w:val="28"/>
          <w:szCs w:val="28"/>
        </w:rPr>
        <w:t>2.15.1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w:t>
      </w:r>
    </w:p>
    <w:p w:rsidR="00DA5743" w:rsidRDefault="00DA5743" w:rsidP="00DA5743">
      <w:pPr>
        <w:widowControl w:val="0"/>
        <w:ind w:firstLine="709"/>
        <w:jc w:val="both"/>
        <w:rPr>
          <w:sz w:val="28"/>
          <w:szCs w:val="28"/>
        </w:rPr>
      </w:pPr>
      <w:r>
        <w:rPr>
          <w:sz w:val="28"/>
          <w:szCs w:val="28"/>
        </w:rPr>
        <w:t>2.15.2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w:t>
      </w:r>
      <w:r>
        <w:rPr>
          <w:sz w:val="28"/>
          <w:szCs w:val="28"/>
        </w:rPr>
        <w:lastRenderedPageBreak/>
        <w:t>дичностью размещения, установленными в соответствии с частью 5 статьи 165 Жилищного кодекса Российской Федерации.</w:t>
      </w:r>
    </w:p>
    <w:p w:rsidR="00DA5743" w:rsidRDefault="00DA5743" w:rsidP="00DA5743">
      <w:pPr>
        <w:widowControl w:val="0"/>
        <w:ind w:firstLine="709"/>
        <w:jc w:val="both"/>
        <w:rPr>
          <w:sz w:val="28"/>
          <w:szCs w:val="28"/>
        </w:rPr>
      </w:pPr>
      <w:r>
        <w:rPr>
          <w:sz w:val="28"/>
          <w:szCs w:val="28"/>
        </w:rPr>
        <w:t>2.16. Выявление соответствия объекта Муниципального контроля параметрам, утвержденным индикаторами риска нарушения обязательных требований, осуществляется Органом контроля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w:t>
      </w:r>
    </w:p>
    <w:p w:rsidR="00DA5743" w:rsidRDefault="00DA5743" w:rsidP="00DA5743">
      <w:pPr>
        <w:widowControl w:val="0"/>
        <w:ind w:firstLine="709"/>
        <w:jc w:val="both"/>
        <w:rPr>
          <w:sz w:val="28"/>
          <w:szCs w:val="28"/>
        </w:rPr>
      </w:pPr>
      <w:r>
        <w:rPr>
          <w:sz w:val="28"/>
          <w:szCs w:val="28"/>
        </w:rPr>
        <w:t>Сбор, обработка, анализ и учет сведений об объектах Муниципального контроля в целях определения индикаторов риска нарушения обязательных требований осуществляются Органом контроля без взаимодействия с контролируемыми лицами.</w:t>
      </w:r>
    </w:p>
    <w:p w:rsidR="00DA5743" w:rsidRDefault="00995723" w:rsidP="00DA5743">
      <w:pPr>
        <w:widowControl w:val="0"/>
        <w:ind w:firstLine="709"/>
        <w:jc w:val="both"/>
        <w:rPr>
          <w:sz w:val="28"/>
          <w:szCs w:val="28"/>
        </w:rPr>
      </w:pPr>
      <w:r w:rsidRPr="0055436A">
        <w:rPr>
          <w:color w:val="000000"/>
          <w:sz w:val="28"/>
          <w:szCs w:val="28"/>
        </w:rPr>
        <w:t>В случае выявления соответствия объекта Муниципального контроля параметрам, утвержденным индикаторами риска нарушения обязательных требований, вид контрольного мероприятия определяется в соответствии с подпунктом 4.4.1 настоящего Положения.</w:t>
      </w:r>
      <w:r w:rsidR="00DA5743">
        <w:rPr>
          <w:sz w:val="28"/>
          <w:szCs w:val="28"/>
        </w:rPr>
        <w:t>»;</w:t>
      </w:r>
    </w:p>
    <w:p w:rsidR="00DA5743" w:rsidRDefault="00DA5743" w:rsidP="00DA5743">
      <w:pPr>
        <w:widowControl w:val="0"/>
        <w:ind w:firstLine="709"/>
        <w:jc w:val="both"/>
        <w:rPr>
          <w:sz w:val="28"/>
          <w:szCs w:val="28"/>
        </w:rPr>
      </w:pPr>
      <w:r>
        <w:rPr>
          <w:sz w:val="28"/>
          <w:szCs w:val="28"/>
        </w:rPr>
        <w:t xml:space="preserve">1.1.2 пункт 4.14 дополнить абзацем следующего содержания: </w:t>
      </w:r>
    </w:p>
    <w:p w:rsidR="00DA5743" w:rsidRDefault="00DA5743" w:rsidP="00DA5743">
      <w:pPr>
        <w:widowControl w:val="0"/>
        <w:ind w:firstLine="709"/>
        <w:jc w:val="both"/>
        <w:rPr>
          <w:sz w:val="28"/>
          <w:szCs w:val="28"/>
        </w:rPr>
      </w:pPr>
      <w:r>
        <w:rPr>
          <w:sz w:val="28"/>
          <w:szCs w:val="28"/>
        </w:rPr>
        <w:t>«истребование документов.»;</w:t>
      </w:r>
    </w:p>
    <w:p w:rsidR="00DA5743" w:rsidRDefault="00DA5743" w:rsidP="00DA5743">
      <w:pPr>
        <w:widowControl w:val="0"/>
        <w:ind w:firstLine="709"/>
        <w:jc w:val="both"/>
        <w:rPr>
          <w:sz w:val="28"/>
          <w:szCs w:val="28"/>
        </w:rPr>
      </w:pPr>
      <w:r>
        <w:rPr>
          <w:sz w:val="28"/>
          <w:szCs w:val="28"/>
        </w:rPr>
        <w:t>1.2 в Ключевых показателях и их целевых значениях, индикативных показателях муниципального жилищного контроля на территории города Перми (приложение 2):</w:t>
      </w:r>
    </w:p>
    <w:p w:rsidR="00DA5743" w:rsidRDefault="00DA5743" w:rsidP="00DA5743">
      <w:pPr>
        <w:widowControl w:val="0"/>
        <w:ind w:firstLine="709"/>
        <w:jc w:val="both"/>
        <w:rPr>
          <w:sz w:val="28"/>
          <w:szCs w:val="28"/>
        </w:rPr>
      </w:pPr>
      <w:r>
        <w:rPr>
          <w:sz w:val="28"/>
          <w:szCs w:val="28"/>
        </w:rPr>
        <w:t>1.2.1 пункт 1.1 изложить в редакции:</w:t>
      </w:r>
    </w:p>
    <w:p w:rsidR="00DA5743" w:rsidRDefault="00DA5743" w:rsidP="00DA5743">
      <w:pPr>
        <w:widowControl w:val="0"/>
        <w:ind w:firstLine="709"/>
        <w:jc w:val="both"/>
        <w:rPr>
          <w:sz w:val="28"/>
          <w:szCs w:val="28"/>
        </w:rPr>
      </w:pPr>
      <w:r>
        <w:rPr>
          <w:sz w:val="28"/>
          <w:szCs w:val="28"/>
        </w:rPr>
        <w:t>«1.1 доля устраненных нарушений обязательных требований от общего количества выявленных нарушений обязательных требований по результатам проведения инспекционных визитов, документарных проверок, выездных проверок, наблюдений за соблюдением обязательных требований (мониторинг безопасности) за календарный год (далее – отчетный период), не менее 80 %;»;</w:t>
      </w:r>
    </w:p>
    <w:p w:rsidR="00DA5743" w:rsidRDefault="00DA5743" w:rsidP="00DA5743">
      <w:pPr>
        <w:widowControl w:val="0"/>
        <w:ind w:firstLine="709"/>
        <w:jc w:val="both"/>
        <w:rPr>
          <w:sz w:val="28"/>
          <w:szCs w:val="28"/>
        </w:rPr>
      </w:pPr>
      <w:r>
        <w:rPr>
          <w:sz w:val="28"/>
          <w:szCs w:val="28"/>
        </w:rPr>
        <w:t>1.2.2 дополнить пунктом 2.2</w:t>
      </w:r>
      <w:r>
        <w:rPr>
          <w:sz w:val="28"/>
          <w:szCs w:val="28"/>
          <w:vertAlign w:val="superscript"/>
        </w:rPr>
        <w:t>1</w:t>
      </w:r>
      <w:r>
        <w:rPr>
          <w:sz w:val="28"/>
          <w:szCs w:val="28"/>
        </w:rPr>
        <w:t xml:space="preserve"> следующего содержания:</w:t>
      </w:r>
    </w:p>
    <w:p w:rsidR="00DA5743" w:rsidRDefault="00DA5743" w:rsidP="00DA5743">
      <w:pPr>
        <w:widowControl w:val="0"/>
        <w:ind w:firstLine="709"/>
        <w:jc w:val="both"/>
        <w:rPr>
          <w:sz w:val="28"/>
          <w:szCs w:val="28"/>
        </w:rPr>
      </w:pPr>
      <w:r>
        <w:rPr>
          <w:sz w:val="28"/>
          <w:szCs w:val="28"/>
        </w:rPr>
        <w:t>«2.2</w:t>
      </w:r>
      <w:r>
        <w:rPr>
          <w:sz w:val="28"/>
          <w:szCs w:val="28"/>
          <w:vertAlign w:val="superscript"/>
        </w:rPr>
        <w:t>1</w:t>
      </w:r>
      <w:r>
        <w:rPr>
          <w:sz w:val="28"/>
          <w:szCs w:val="28"/>
        </w:rPr>
        <w:t xml:space="preserve"> количество внеплановых контрольных мероприятий, проведенных на</w:t>
      </w:r>
      <w:r w:rsidR="00995723">
        <w:rPr>
          <w:sz w:val="28"/>
          <w:szCs w:val="28"/>
        </w:rPr>
        <w:t> </w:t>
      </w:r>
      <w:r>
        <w:rPr>
          <w:sz w:val="28"/>
          <w:szCs w:val="28"/>
        </w:rPr>
        <w:t xml:space="preserve">основании выявления соответствия объекта контроля параметрам, утвержденным индикаторами риска нарушения обязательных требований, за отчетный период;»; </w:t>
      </w:r>
    </w:p>
    <w:p w:rsidR="00DA5743" w:rsidRDefault="00DA5743" w:rsidP="00DA5743">
      <w:pPr>
        <w:widowControl w:val="0"/>
        <w:ind w:firstLine="709"/>
        <w:jc w:val="both"/>
        <w:rPr>
          <w:sz w:val="28"/>
          <w:szCs w:val="28"/>
        </w:rPr>
      </w:pPr>
      <w:r>
        <w:rPr>
          <w:sz w:val="28"/>
          <w:szCs w:val="28"/>
        </w:rPr>
        <w:t>1.2.3 дополнить пунктом 2.11</w:t>
      </w:r>
      <w:r>
        <w:rPr>
          <w:sz w:val="28"/>
          <w:szCs w:val="28"/>
          <w:vertAlign w:val="superscript"/>
        </w:rPr>
        <w:t>1</w:t>
      </w:r>
      <w:r>
        <w:rPr>
          <w:sz w:val="28"/>
          <w:szCs w:val="28"/>
        </w:rPr>
        <w:t xml:space="preserve"> следующего содержания:</w:t>
      </w:r>
    </w:p>
    <w:p w:rsidR="00DA5743" w:rsidRDefault="00DA5743" w:rsidP="00DA5743">
      <w:pPr>
        <w:widowControl w:val="0"/>
        <w:ind w:firstLine="709"/>
        <w:jc w:val="both"/>
        <w:rPr>
          <w:sz w:val="28"/>
          <w:szCs w:val="28"/>
        </w:rPr>
      </w:pPr>
      <w:r>
        <w:rPr>
          <w:sz w:val="28"/>
          <w:szCs w:val="28"/>
        </w:rPr>
        <w:t>«2.11</w:t>
      </w:r>
      <w:r>
        <w:rPr>
          <w:sz w:val="28"/>
          <w:szCs w:val="28"/>
          <w:vertAlign w:val="superscript"/>
        </w:rPr>
        <w:t>1</w:t>
      </w:r>
      <w:r>
        <w:rPr>
          <w:sz w:val="28"/>
          <w:szCs w:val="28"/>
        </w:rPr>
        <w:t xml:space="preserve"> количество контрольных мероприятий, по результатам которых выявлены факты неисполнения предписаний </w:t>
      </w:r>
      <w:r w:rsidR="00995723" w:rsidRPr="00995723">
        <w:rPr>
          <w:sz w:val="28"/>
          <w:szCs w:val="28"/>
        </w:rPr>
        <w:t xml:space="preserve">контрольного органа </w:t>
      </w:r>
      <w:r>
        <w:rPr>
          <w:sz w:val="28"/>
          <w:szCs w:val="28"/>
        </w:rPr>
        <w:t>об устранении выявленных нарушений обязательных требований;»;</w:t>
      </w:r>
    </w:p>
    <w:p w:rsidR="00DA5743" w:rsidRDefault="00DA5743" w:rsidP="00DA5743">
      <w:pPr>
        <w:widowControl w:val="0"/>
        <w:ind w:firstLine="709"/>
        <w:jc w:val="both"/>
        <w:rPr>
          <w:sz w:val="28"/>
          <w:szCs w:val="28"/>
        </w:rPr>
      </w:pPr>
      <w:r>
        <w:rPr>
          <w:sz w:val="28"/>
          <w:szCs w:val="28"/>
        </w:rPr>
        <w:t>1.2.4 дополнить пунктом 2.19 следующего содержания:</w:t>
      </w:r>
    </w:p>
    <w:p w:rsidR="00DA5743" w:rsidRDefault="00DA5743" w:rsidP="00DA5743">
      <w:pPr>
        <w:widowControl w:val="0"/>
        <w:autoSpaceDE w:val="0"/>
        <w:autoSpaceDN w:val="0"/>
        <w:adjustRightInd w:val="0"/>
        <w:ind w:firstLine="709"/>
        <w:jc w:val="both"/>
        <w:rPr>
          <w:sz w:val="28"/>
          <w:szCs w:val="28"/>
          <w:lang w:eastAsia="en-US"/>
        </w:rPr>
      </w:pPr>
      <w:r>
        <w:rPr>
          <w:sz w:val="28"/>
          <w:szCs w:val="28"/>
        </w:rPr>
        <w:t xml:space="preserve">«2.19 количество поданных в суд исковых заявлений </w:t>
      </w:r>
      <w:r>
        <w:rPr>
          <w:sz w:val="28"/>
          <w:szCs w:val="28"/>
          <w:lang w:eastAsia="en-US"/>
        </w:rPr>
        <w:t>о понуждении к исполнению предписания.</w:t>
      </w:r>
      <w:r>
        <w:rPr>
          <w:sz w:val="28"/>
          <w:szCs w:val="28"/>
        </w:rPr>
        <w:t>».</w:t>
      </w:r>
    </w:p>
    <w:p w:rsidR="00DA5743" w:rsidRDefault="00DA5743" w:rsidP="00DA5743">
      <w:pPr>
        <w:widowControl w:val="0"/>
        <w:ind w:firstLine="709"/>
        <w:jc w:val="both"/>
        <w:rPr>
          <w:rFonts w:eastAsia="Calibri"/>
          <w:sz w:val="28"/>
          <w:szCs w:val="28"/>
          <w:lang w:eastAsia="en-US"/>
        </w:rPr>
      </w:pPr>
      <w:r>
        <w:rPr>
          <w:sz w:val="28"/>
          <w:szCs w:val="28"/>
        </w:rPr>
        <w:t>2.</w:t>
      </w:r>
      <w:r>
        <w:rPr>
          <w:rFonts w:eastAsia="Calibri"/>
          <w:sz w:val="28"/>
          <w:szCs w:val="28"/>
          <w:lang w:eastAsia="en-US"/>
        </w:rPr>
        <w:t xml:space="preserve">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bCs/>
          <w:sz w:val="28"/>
          <w:szCs w:val="28"/>
        </w:rPr>
        <w:t>.</w:t>
      </w:r>
    </w:p>
    <w:p w:rsidR="00DA5743" w:rsidRDefault="00DA5743" w:rsidP="00DA5743">
      <w:pPr>
        <w:widowControl w:val="0"/>
        <w:ind w:firstLine="709"/>
        <w:jc w:val="both"/>
        <w:rPr>
          <w:sz w:val="28"/>
          <w:szCs w:val="28"/>
        </w:rPr>
      </w:pPr>
      <w:r>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w:t>
      </w:r>
      <w:r>
        <w:rPr>
          <w:sz w:val="28"/>
          <w:szCs w:val="28"/>
        </w:rPr>
        <w:lastRenderedPageBreak/>
        <w:t>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DA5743" w:rsidRDefault="00DA5743" w:rsidP="00DA5743">
      <w:pPr>
        <w:widowControl w:val="0"/>
        <w:ind w:firstLine="709"/>
        <w:jc w:val="both"/>
        <w:rPr>
          <w:sz w:val="28"/>
          <w:szCs w:val="28"/>
        </w:rPr>
      </w:pPr>
      <w:r>
        <w:rPr>
          <w:sz w:val="28"/>
          <w:szCs w:val="28"/>
        </w:rPr>
        <w:t>4. Контроль за исполнением настоящего решения возложить на комитет Пермской городской Думы по пространственному развитию и благоустройству.</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13365A" w:rsidRDefault="0013365A" w:rsidP="0013365A">
      <w:pPr>
        <w:widowControl w:val="0"/>
        <w:tabs>
          <w:tab w:val="left" w:pos="8080"/>
        </w:tabs>
        <w:spacing w:before="720"/>
        <w:rPr>
          <w:color w:val="000000"/>
          <w:sz w:val="28"/>
          <w:szCs w:val="28"/>
        </w:rPr>
      </w:pPr>
      <w:r>
        <w:rPr>
          <w:color w:val="000000"/>
          <w:sz w:val="28"/>
          <w:szCs w:val="28"/>
        </w:rPr>
        <w:t>Глава города Перми</w:t>
      </w:r>
      <w:r>
        <w:rPr>
          <w:color w:val="000000"/>
          <w:sz w:val="28"/>
          <w:szCs w:val="28"/>
        </w:rPr>
        <w:tab/>
        <w:t xml:space="preserve">    А.Н. Дёмкин</w:t>
      </w:r>
    </w:p>
    <w:p w:rsidR="005F173E" w:rsidRDefault="005F173E" w:rsidP="005F173E">
      <w:pPr>
        <w:spacing w:before="720"/>
        <w:rPr>
          <w:color w:val="000000"/>
          <w:sz w:val="28"/>
          <w:szCs w:val="28"/>
        </w:rPr>
      </w:pPr>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headerReference w:type="even" r:id="rId8"/>
      <w:headerReference w:type="default" r:id="rId9"/>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CE3861">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1s2Xvjkc13F5zOs08JIhUPqyP9TLkEIB703ly67dzqBwq6+CnZT/DMGIu55X1Rb+9c1e+DPLbBv+HdpMOGA==" w:salt="jB9mpvbgbxv8uQWxN1RMV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54D3B"/>
    <w:rsid w:val="001602DD"/>
    <w:rsid w:val="001677E1"/>
    <w:rsid w:val="00170172"/>
    <w:rsid w:val="00170BCA"/>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0F1F"/>
    <w:rsid w:val="00715EFD"/>
    <w:rsid w:val="00741CCA"/>
    <w:rsid w:val="00756D20"/>
    <w:rsid w:val="0075787D"/>
    <w:rsid w:val="00757C49"/>
    <w:rsid w:val="00764167"/>
    <w:rsid w:val="0076690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5723"/>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3861"/>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A5743"/>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E2D6C883-D448-4D25-9A74-BAA0B58C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283150077">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752</Words>
  <Characters>4287</Characters>
  <Application>Microsoft Office Word</Application>
  <DocSecurity>8</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4</cp:revision>
  <cp:lastPrinted>2022-05-26T06:41:00Z</cp:lastPrinted>
  <dcterms:created xsi:type="dcterms:W3CDTF">2022-05-12T08:28:00Z</dcterms:created>
  <dcterms:modified xsi:type="dcterms:W3CDTF">2022-05-26T06:43:00Z</dcterms:modified>
</cp:coreProperties>
</file>