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95" w:rsidRPr="007D5BD3" w:rsidRDefault="00305195" w:rsidP="00305195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68C3B" wp14:editId="5A0EA34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05195" w:rsidRDefault="00305195" w:rsidP="00305195">
                            <w:pPr>
                              <w:pStyle w:val="a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E05BAE9" wp14:editId="4CE0606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5195" w:rsidRPr="00DF5925" w:rsidRDefault="00305195" w:rsidP="00305195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05195" w:rsidRPr="00DF5925" w:rsidRDefault="00305195" w:rsidP="0030519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05195" w:rsidRPr="00573676" w:rsidRDefault="00305195" w:rsidP="0030519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05195" w:rsidRPr="00573676" w:rsidRDefault="00305195" w:rsidP="0030519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05195" w:rsidRPr="00573676" w:rsidRDefault="00305195" w:rsidP="0030519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05195" w:rsidRPr="00573676" w:rsidRDefault="00305195" w:rsidP="0030519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68C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305195" w:rsidRDefault="00305195" w:rsidP="00305195">
                      <w:pPr>
                        <w:pStyle w:val="a6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E05BAE9" wp14:editId="4CE0606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5195" w:rsidRPr="00DF5925" w:rsidRDefault="00305195" w:rsidP="00305195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05195" w:rsidRPr="00DF5925" w:rsidRDefault="00305195" w:rsidP="0030519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05195" w:rsidRPr="00573676" w:rsidRDefault="00305195" w:rsidP="0030519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05195" w:rsidRPr="00573676" w:rsidRDefault="00305195" w:rsidP="0030519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05195" w:rsidRPr="00573676" w:rsidRDefault="00305195" w:rsidP="0030519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05195" w:rsidRPr="00573676" w:rsidRDefault="00305195" w:rsidP="0030519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5195" w:rsidRPr="007D5BD3" w:rsidRDefault="00305195" w:rsidP="0030519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7950" w:rsidRPr="005F061A" w:rsidRDefault="00937950" w:rsidP="00305195">
      <w:pPr>
        <w:suppressAutoHyphens/>
        <w:spacing w:after="480"/>
        <w:jc w:val="center"/>
        <w:rPr>
          <w:b/>
          <w:sz w:val="28"/>
          <w:szCs w:val="28"/>
          <w:lang w:eastAsia="x-none"/>
        </w:rPr>
      </w:pPr>
      <w:r w:rsidRPr="00B33F83">
        <w:rPr>
          <w:b/>
          <w:sz w:val="28"/>
          <w:szCs w:val="28"/>
          <w:lang w:eastAsia="ar-SA"/>
        </w:rPr>
        <w:t>О внесении изменений в Правила благоустройства территории города Перми, утвержденные решением Пермской городской Думы от 15.12.2020 №</w:t>
      </w:r>
      <w:r w:rsidR="00305195">
        <w:rPr>
          <w:b/>
          <w:sz w:val="28"/>
          <w:szCs w:val="28"/>
          <w:lang w:eastAsia="ar-SA"/>
        </w:rPr>
        <w:t> </w:t>
      </w:r>
      <w:r w:rsidRPr="00B33F83">
        <w:rPr>
          <w:b/>
          <w:sz w:val="28"/>
          <w:szCs w:val="28"/>
          <w:lang w:eastAsia="ar-SA"/>
        </w:rPr>
        <w:t>277</w:t>
      </w:r>
      <w:r>
        <w:rPr>
          <w:b/>
          <w:sz w:val="28"/>
          <w:szCs w:val="28"/>
          <w:lang w:eastAsia="ar-SA"/>
        </w:rPr>
        <w:t>,</w:t>
      </w:r>
      <w:r w:rsidRPr="00747F31">
        <w:rPr>
          <w:b/>
          <w:sz w:val="28"/>
          <w:szCs w:val="28"/>
          <w:lang w:eastAsia="x-none"/>
        </w:rPr>
        <w:t xml:space="preserve"> </w:t>
      </w:r>
      <w:r w:rsidRPr="00B64E8F">
        <w:rPr>
          <w:b/>
          <w:sz w:val="28"/>
          <w:szCs w:val="28"/>
          <w:lang w:eastAsia="x-none"/>
        </w:rPr>
        <w:t>в части установления требований к природно-рекреационным территориям, городским лесам</w:t>
      </w:r>
    </w:p>
    <w:p w:rsidR="00937950" w:rsidRPr="00662C84" w:rsidRDefault="00937950" w:rsidP="0093795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937950" w:rsidRPr="00662C84" w:rsidRDefault="00937950" w:rsidP="00937950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305195">
        <w:rPr>
          <w:rFonts w:eastAsia="Calibri"/>
          <w:b/>
          <w:bCs/>
          <w:sz w:val="28"/>
          <w:szCs w:val="28"/>
          <w:lang w:eastAsia="en-US"/>
        </w:rPr>
        <w:t>р</w:t>
      </w:r>
      <w:r w:rsidR="0030519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05195">
        <w:rPr>
          <w:rFonts w:eastAsia="Calibri"/>
          <w:b/>
          <w:bCs/>
          <w:sz w:val="28"/>
          <w:szCs w:val="28"/>
          <w:lang w:eastAsia="en-US"/>
        </w:rPr>
        <w:t>е</w:t>
      </w:r>
      <w:r w:rsidR="0030519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05195">
        <w:rPr>
          <w:rFonts w:eastAsia="Calibri"/>
          <w:b/>
          <w:bCs/>
          <w:sz w:val="28"/>
          <w:szCs w:val="28"/>
          <w:lang w:eastAsia="en-US"/>
        </w:rPr>
        <w:t>ш</w:t>
      </w:r>
      <w:r w:rsidR="0030519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05195">
        <w:rPr>
          <w:rFonts w:eastAsia="Calibri"/>
          <w:b/>
          <w:bCs/>
          <w:sz w:val="28"/>
          <w:szCs w:val="28"/>
          <w:lang w:eastAsia="en-US"/>
        </w:rPr>
        <w:t>и</w:t>
      </w:r>
      <w:r w:rsidR="0030519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05195">
        <w:rPr>
          <w:rFonts w:eastAsia="Calibri"/>
          <w:b/>
          <w:bCs/>
          <w:sz w:val="28"/>
          <w:szCs w:val="28"/>
          <w:lang w:eastAsia="en-US"/>
        </w:rPr>
        <w:t>л</w:t>
      </w:r>
      <w:r w:rsidR="0030519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05195">
        <w:rPr>
          <w:rFonts w:eastAsia="Calibri"/>
          <w:b/>
          <w:bCs/>
          <w:sz w:val="28"/>
          <w:szCs w:val="28"/>
          <w:lang w:eastAsia="en-US"/>
        </w:rPr>
        <w:t>а</w:t>
      </w:r>
      <w:r w:rsidRPr="00305195">
        <w:rPr>
          <w:rFonts w:eastAsia="Calibri"/>
          <w:b/>
          <w:sz w:val="28"/>
          <w:szCs w:val="28"/>
          <w:lang w:eastAsia="en-US"/>
        </w:rPr>
        <w:t>:</w:t>
      </w:r>
    </w:p>
    <w:p w:rsidR="00937950" w:rsidRPr="00662C84" w:rsidRDefault="00937950" w:rsidP="0030519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 Внести в Правила благоустройства территории города Перми, утвержденные решением Пермской гор</w:t>
      </w:r>
      <w:r>
        <w:rPr>
          <w:rFonts w:eastAsia="Calibri"/>
          <w:sz w:val="28"/>
          <w:szCs w:val="28"/>
          <w:lang w:eastAsia="en-US"/>
        </w:rPr>
        <w:t>одской Думы от 15.12.2020 № 277</w:t>
      </w:r>
      <w:r w:rsidR="00305195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(в редакции решений Пермской городской Думы от 24.02.2021 № 40, от 27.04.2021 № 102, от 24.08.2021 № 181, от 24.08.2</w:t>
      </w:r>
      <w:r>
        <w:rPr>
          <w:rFonts w:eastAsia="Calibri"/>
          <w:sz w:val="28"/>
          <w:szCs w:val="28"/>
          <w:lang w:eastAsia="en-US"/>
        </w:rPr>
        <w:t>021 № 182, от 21.12.2021 № 307,</w:t>
      </w:r>
      <w:r w:rsidR="00305195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от 26.04.2022 № 81, от 26.04.2022 № 82, от 28.06.2022 № 144</w:t>
      </w:r>
      <w:bookmarkStart w:id="0" w:name="_GoBack"/>
      <w:bookmarkEnd w:id="0"/>
      <w:r w:rsidRPr="00662C84">
        <w:rPr>
          <w:rFonts w:eastAsia="Calibri"/>
          <w:sz w:val="28"/>
          <w:szCs w:val="28"/>
          <w:lang w:eastAsia="en-US"/>
        </w:rPr>
        <w:t xml:space="preserve">), изменения: </w:t>
      </w:r>
    </w:p>
    <w:p w:rsidR="00937950" w:rsidRPr="00662C84" w:rsidRDefault="00937950" w:rsidP="0030519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1.1 пункт 12.1 изложить в редакции:</w:t>
      </w:r>
    </w:p>
    <w:p w:rsidR="00937950" w:rsidRPr="00662C84" w:rsidRDefault="00937950" w:rsidP="0030519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«12.1. Все зеленые насаждения на озелененных территориях, на особо охраняемых природных территориях, территориях городских лесов образуют городской зеленый фонд.»;</w:t>
      </w:r>
    </w:p>
    <w:p w:rsidR="00937950" w:rsidRPr="00662C84" w:rsidRDefault="00937950" w:rsidP="0030519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1.2 абзацы первый-третий пункта 12.2 изложить в редакции:</w:t>
      </w:r>
    </w:p>
    <w:p w:rsidR="00937950" w:rsidRPr="00662C84" w:rsidRDefault="00937950" w:rsidP="0030519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«12.2. Содержание деревьев, кустарников, газонов, цветников включает комплекс работ по обработке почвы, поливу зеленых насаждений, внесению удобрений, обрезке крон деревьев и кустарников, защите от вредителей</w:t>
      </w:r>
      <w:r w:rsidR="00305195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и болезней, уничтожению и предотвращению распространения борщевика Сосновского, который осуществляется владельцами озелененных территорий, особо охраняемых природных территорий и территории городских лесов.»;</w:t>
      </w:r>
    </w:p>
    <w:p w:rsidR="00937950" w:rsidRPr="00662C84" w:rsidRDefault="00937950" w:rsidP="0030519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1.3 дополнить пунктом 12.14 следующего содержания:</w:t>
      </w:r>
    </w:p>
    <w:p w:rsidR="00937950" w:rsidRPr="00662C84" w:rsidRDefault="00937950" w:rsidP="0030519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«12.14. Требования к обустройству природно-рекреационных территорий, городских лесов установлены в приложении 15 к Правилам.»;</w:t>
      </w:r>
    </w:p>
    <w:p w:rsidR="00937950" w:rsidRPr="00662C84" w:rsidRDefault="00937950" w:rsidP="0030519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1.4 в Порядке сноса и выполнения компенсационных посадок зеленых насаждений на территории города Перми (приложение 5 к Правилам):</w:t>
      </w:r>
    </w:p>
    <w:p w:rsidR="00937950" w:rsidRPr="00662C84" w:rsidRDefault="00937950" w:rsidP="0030519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1.4.1 абзацы второй, третий пункта 1.1 изложить в редакции: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«Настоящий Порядок (далее – Порядок) разработан в целях обеспечения единых требований к сносу зеленых насаждений на территории города Перми (за исключением зеленых насаждений на земельных участках, занятых индивиду</w:t>
      </w:r>
      <w:r w:rsidRPr="00662C84">
        <w:rPr>
          <w:rFonts w:eastAsia="Calibri"/>
          <w:sz w:val="28"/>
          <w:szCs w:val="28"/>
          <w:lang w:eastAsia="en-US"/>
        </w:rPr>
        <w:lastRenderedPageBreak/>
        <w:t>альной жилой застройкой, садовых, огородных, дачных и приусадебных земельных участках, зеленых насаждений в городских лесах).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Порядок в части выполнения компенсационных посадок и оплаты восстановительной стоимости не распространяется на случаи сноса зеленых насаждений, произрастающих на действующих</w:t>
      </w:r>
      <w:r>
        <w:rPr>
          <w:rFonts w:eastAsia="Calibri"/>
          <w:sz w:val="28"/>
          <w:szCs w:val="28"/>
          <w:lang w:eastAsia="en-US"/>
        </w:rPr>
        <w:t xml:space="preserve"> местах погребения (кладбищах),</w:t>
      </w:r>
      <w:r w:rsidR="00305195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а также при ликвидации аварийных и ч</w:t>
      </w:r>
      <w:r>
        <w:rPr>
          <w:rFonts w:eastAsia="Calibri"/>
          <w:sz w:val="28"/>
          <w:szCs w:val="28"/>
          <w:lang w:eastAsia="en-US"/>
        </w:rPr>
        <w:t>резвычайных ситуаций природного</w:t>
      </w:r>
      <w:r w:rsidR="00305195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и техногенного характера.»;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1.4.2 подпункт 2.4.1 изложить в редакции: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«2.4.1 для лиственных деревьев: высотой от 3,0 м до 3,5 м, с обхватом ствола на высоте 1 м 10-12 см, высотой штамба не менее 1,3-1,8 м, количеством скелетных ветвей 5-9 штук, с комом земли шириной 40-45 см и высотой 40 см;»;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1.4.3 подпункт 2.4.2 изложить в редакции: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«2.4.2 для хвойных деревьев: не менее III группы 1 сорта в соответствии с требованиями стандартов, технических регламентов; для сильнорослых деревьев с широкой кроной высотой не менее 1,5 м, с комом земли не менее 50 см. В остальных случаях для посадки хвойных культур следует руководствоваться национальным стандартом Российской Федерации по посадочному материалу декоративных растений.»;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1.4.4 абзац третий пункта 3.2 дополнить словами «а в случае невозможности воспроизвести компенсационные посадки в данных границах осуществляться в</w:t>
      </w:r>
      <w:r w:rsidR="00305195">
        <w:rPr>
          <w:rFonts w:eastAsia="Calibri"/>
          <w:sz w:val="28"/>
          <w:szCs w:val="28"/>
          <w:lang w:eastAsia="en-US"/>
        </w:rPr>
        <w:t> </w:t>
      </w:r>
      <w:r w:rsidRPr="00662C84">
        <w:rPr>
          <w:rFonts w:eastAsia="Calibri"/>
          <w:sz w:val="28"/>
          <w:szCs w:val="28"/>
          <w:lang w:eastAsia="en-US"/>
        </w:rPr>
        <w:t>административных границах соответствующего района города Перми,»;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1.5 дополнить приложением 15 «Требования к обустройству природно-рекреационных территорий, городских лесов»</w:t>
      </w:r>
      <w:r w:rsidRPr="00662C84">
        <w:t xml:space="preserve"> </w:t>
      </w:r>
      <w:r w:rsidRPr="00662C84">
        <w:rPr>
          <w:rFonts w:eastAsia="Calibri"/>
          <w:sz w:val="28"/>
          <w:szCs w:val="28"/>
          <w:lang w:eastAsia="en-US"/>
        </w:rPr>
        <w:t>согласно приложению к настоящему решению.</w:t>
      </w:r>
    </w:p>
    <w:p w:rsidR="004B4BBF" w:rsidRPr="006F3797" w:rsidRDefault="004B4BBF" w:rsidP="004B4BBF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3797">
        <w:rPr>
          <w:rFonts w:eastAsia="Calibri"/>
          <w:sz w:val="28"/>
          <w:szCs w:val="28"/>
          <w:lang w:eastAsia="en-US"/>
        </w:rPr>
        <w:t>2. Требования к обустройству природно-рекреационных территорий, городских лесов распространяются на вновь обустраиваемые природно-рекреационные территории, городские леса</w:t>
      </w:r>
      <w:r w:rsidR="00BB50C2" w:rsidRPr="006F3797">
        <w:rPr>
          <w:rFonts w:eastAsia="Calibri"/>
          <w:sz w:val="28"/>
          <w:szCs w:val="28"/>
          <w:lang w:eastAsia="en-US"/>
        </w:rPr>
        <w:t>,</w:t>
      </w:r>
      <w:r w:rsidR="00BB50C2" w:rsidRPr="006F3797">
        <w:t xml:space="preserve"> </w:t>
      </w:r>
      <w:r w:rsidR="00BB50C2" w:rsidRPr="006F3797">
        <w:rPr>
          <w:rFonts w:eastAsia="Calibri"/>
          <w:sz w:val="28"/>
          <w:szCs w:val="28"/>
          <w:lang w:eastAsia="en-US"/>
        </w:rPr>
        <w:t>в том числе при реконструкции и замене элементов благоустройства природно-рекреационных территорий, городских лесов</w:t>
      </w:r>
      <w:r w:rsidRPr="006F3797">
        <w:rPr>
          <w:rFonts w:eastAsia="Calibri"/>
          <w:sz w:val="28"/>
          <w:szCs w:val="28"/>
          <w:lang w:eastAsia="en-US"/>
        </w:rPr>
        <w:t>.</w:t>
      </w:r>
    </w:p>
    <w:p w:rsidR="001B1F90" w:rsidRPr="001B1F90" w:rsidRDefault="004B4BBF" w:rsidP="001B1F9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6F3797">
        <w:rPr>
          <w:rFonts w:eastAsia="Calibri"/>
          <w:sz w:val="28"/>
          <w:szCs w:val="28"/>
          <w:lang w:eastAsia="en-US"/>
        </w:rPr>
        <w:t>3</w:t>
      </w:r>
      <w:r w:rsidR="001B1F90" w:rsidRPr="006F3797">
        <w:rPr>
          <w:rFonts w:eastAsia="Calibri"/>
          <w:sz w:val="28"/>
          <w:szCs w:val="28"/>
          <w:lang w:eastAsia="en-US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B4BE3">
        <w:rPr>
          <w:rFonts w:eastAsia="Calibri"/>
          <w:sz w:val="28"/>
          <w:szCs w:val="28"/>
          <w:lang w:eastAsia="en-US"/>
        </w:rPr>
        <w:t>.</w:t>
      </w:r>
    </w:p>
    <w:p w:rsidR="00937950" w:rsidRDefault="004B4BBF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37950" w:rsidRPr="00662C84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37950" w:rsidRPr="00662C84" w:rsidRDefault="004B4BBF" w:rsidP="00305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37950" w:rsidRPr="00662C84"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37950" w:rsidRPr="00662C84" w:rsidRDefault="00937950" w:rsidP="00305195">
      <w:pPr>
        <w:autoSpaceDE w:val="0"/>
        <w:autoSpaceDN w:val="0"/>
        <w:adjustRightInd w:val="0"/>
        <w:spacing w:before="480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937950" w:rsidRPr="00662C84" w:rsidRDefault="00937950" w:rsidP="003051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Пермской городской Думы</w:t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937950" w:rsidRPr="00662C84" w:rsidRDefault="00937950" w:rsidP="00305195">
      <w:pPr>
        <w:autoSpaceDE w:val="0"/>
        <w:autoSpaceDN w:val="0"/>
        <w:adjustRightInd w:val="0"/>
        <w:spacing w:before="480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Глава города Перми</w:t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  <w:t xml:space="preserve">      А.Н. Дёмкин</w:t>
      </w:r>
    </w:p>
    <w:p w:rsidR="00937950" w:rsidRPr="00662C84" w:rsidRDefault="00937950" w:rsidP="00937950">
      <w:pPr>
        <w:rPr>
          <w:rFonts w:eastAsia="Calibri"/>
          <w:sz w:val="28"/>
          <w:szCs w:val="28"/>
          <w:lang w:eastAsia="en-US"/>
        </w:rPr>
        <w:sectPr w:rsidR="00937950" w:rsidRPr="00662C84" w:rsidSect="00305195">
          <w:headerReference w:type="default" r:id="rId7"/>
          <w:pgSz w:w="11906" w:h="16838"/>
          <w:pgMar w:top="363" w:right="567" w:bottom="1134" w:left="1418" w:header="363" w:footer="709" w:gutter="0"/>
          <w:pgNumType w:start="1"/>
          <w:cols w:space="720"/>
          <w:titlePg/>
          <w:docGrid w:linePitch="326"/>
        </w:sectPr>
      </w:pPr>
    </w:p>
    <w:p w:rsidR="00305195" w:rsidRDefault="00937950" w:rsidP="00305195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  <w:sectPr w:rsidR="00305195" w:rsidSect="00937950">
          <w:headerReference w:type="even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2C84">
        <w:rPr>
          <w:sz w:val="28"/>
          <w:szCs w:val="28"/>
        </w:rPr>
        <w:t xml:space="preserve">                                                                      </w:t>
      </w:r>
      <w:r w:rsidRPr="00662C84">
        <w:rPr>
          <w:sz w:val="28"/>
          <w:szCs w:val="28"/>
        </w:rPr>
        <w:tab/>
      </w:r>
      <w:r w:rsidRPr="00662C84">
        <w:rPr>
          <w:sz w:val="28"/>
          <w:szCs w:val="28"/>
        </w:rPr>
        <w:tab/>
      </w:r>
      <w:r w:rsidRPr="00662C84">
        <w:rPr>
          <w:sz w:val="28"/>
          <w:szCs w:val="28"/>
        </w:rPr>
        <w:tab/>
      </w:r>
    </w:p>
    <w:p w:rsidR="00937950" w:rsidRPr="00662C84" w:rsidRDefault="00937950" w:rsidP="00305195">
      <w:pPr>
        <w:autoSpaceDE w:val="0"/>
        <w:autoSpaceDN w:val="0"/>
        <w:adjustRightInd w:val="0"/>
        <w:spacing w:line="240" w:lineRule="exact"/>
        <w:ind w:left="6379"/>
        <w:outlineLvl w:val="0"/>
        <w:rPr>
          <w:sz w:val="28"/>
          <w:szCs w:val="28"/>
        </w:rPr>
      </w:pPr>
      <w:r w:rsidRPr="00662C84">
        <w:rPr>
          <w:sz w:val="28"/>
          <w:szCs w:val="28"/>
        </w:rPr>
        <w:lastRenderedPageBreak/>
        <w:t xml:space="preserve">ПРИЛОЖЕНИЕ </w:t>
      </w:r>
    </w:p>
    <w:p w:rsidR="00937950" w:rsidRPr="00662C84" w:rsidRDefault="00937950" w:rsidP="00305195">
      <w:pPr>
        <w:autoSpaceDE w:val="0"/>
        <w:autoSpaceDN w:val="0"/>
        <w:adjustRightInd w:val="0"/>
        <w:ind w:firstLine="6379"/>
        <w:outlineLvl w:val="0"/>
        <w:rPr>
          <w:sz w:val="28"/>
          <w:szCs w:val="28"/>
        </w:rPr>
      </w:pPr>
      <w:r w:rsidRPr="00662C84">
        <w:rPr>
          <w:sz w:val="28"/>
          <w:szCs w:val="28"/>
        </w:rPr>
        <w:t>к решению</w:t>
      </w:r>
    </w:p>
    <w:p w:rsidR="00937950" w:rsidRPr="00662C84" w:rsidRDefault="00937950" w:rsidP="00305195">
      <w:pPr>
        <w:autoSpaceDE w:val="0"/>
        <w:autoSpaceDN w:val="0"/>
        <w:adjustRightInd w:val="0"/>
        <w:ind w:firstLine="6379"/>
        <w:outlineLvl w:val="0"/>
        <w:rPr>
          <w:sz w:val="28"/>
          <w:szCs w:val="28"/>
        </w:rPr>
      </w:pPr>
      <w:r w:rsidRPr="00662C84">
        <w:rPr>
          <w:sz w:val="28"/>
          <w:szCs w:val="28"/>
        </w:rPr>
        <w:t>Пермской городской Думы</w:t>
      </w:r>
    </w:p>
    <w:p w:rsidR="00937950" w:rsidRPr="00662C84" w:rsidRDefault="00937950" w:rsidP="00305195">
      <w:pPr>
        <w:autoSpaceDE w:val="0"/>
        <w:autoSpaceDN w:val="0"/>
        <w:adjustRightInd w:val="0"/>
        <w:ind w:firstLine="6379"/>
        <w:outlineLvl w:val="0"/>
        <w:rPr>
          <w:sz w:val="28"/>
          <w:szCs w:val="28"/>
        </w:rPr>
      </w:pPr>
      <w:r w:rsidRPr="00662C84">
        <w:rPr>
          <w:sz w:val="28"/>
          <w:szCs w:val="28"/>
        </w:rPr>
        <w:t>от</w:t>
      </w:r>
    </w:p>
    <w:p w:rsidR="00937950" w:rsidRPr="00662C84" w:rsidRDefault="00937950" w:rsidP="00937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950" w:rsidRPr="00662C84" w:rsidRDefault="00937950" w:rsidP="00937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950" w:rsidRPr="00662C84" w:rsidRDefault="00937950" w:rsidP="00356B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2C84">
        <w:rPr>
          <w:b/>
          <w:bCs/>
          <w:sz w:val="28"/>
          <w:szCs w:val="28"/>
        </w:rPr>
        <w:t>ТРЕБОВАНИЯ</w:t>
      </w:r>
    </w:p>
    <w:p w:rsidR="00937950" w:rsidRPr="00662C84" w:rsidRDefault="00937950" w:rsidP="00356B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2C84">
        <w:rPr>
          <w:b/>
          <w:bCs/>
          <w:sz w:val="28"/>
          <w:szCs w:val="28"/>
        </w:rPr>
        <w:t>к обустройству природно-рекреационных территорий, городских лесов</w:t>
      </w:r>
    </w:p>
    <w:p w:rsidR="00937950" w:rsidRDefault="00937950" w:rsidP="009379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2CD1" w:rsidRPr="00662C84" w:rsidRDefault="002D2CD1" w:rsidP="009379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37950" w:rsidRPr="00662C84" w:rsidRDefault="00937950" w:rsidP="00937950">
      <w:pPr>
        <w:ind w:firstLine="709"/>
        <w:jc w:val="both"/>
        <w:rPr>
          <w:sz w:val="28"/>
          <w:szCs w:val="28"/>
        </w:rPr>
      </w:pPr>
      <w:r w:rsidRPr="00662C84">
        <w:rPr>
          <w:sz w:val="28"/>
          <w:szCs w:val="28"/>
        </w:rPr>
        <w:t>1. Настоящие Требования устанавливают общие требования к параметрам, конструкциям и материалам, к цветовому решению, применяемым при обустройстве природно-рекреационных территорий, городских лесов (далее – природные территории).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C84">
        <w:rPr>
          <w:sz w:val="28"/>
          <w:szCs w:val="28"/>
        </w:rPr>
        <w:t>2. Перечень элементов благоустройства природной территории включает покрытие территории, оборудование наружного освещения, дренажную систему, навигационные элементы.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sz w:val="28"/>
          <w:szCs w:val="28"/>
        </w:rPr>
        <w:t xml:space="preserve">3. На природных территориях используются </w:t>
      </w:r>
      <w:r w:rsidRPr="00662C84">
        <w:rPr>
          <w:rFonts w:eastAsia="Calibri"/>
          <w:sz w:val="28"/>
          <w:szCs w:val="28"/>
          <w:lang w:eastAsia="en-US"/>
        </w:rPr>
        <w:t xml:space="preserve">следующие водопроницаемые покрытия (материалы):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 xml:space="preserve">водопроницаемые твердые,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натуральный/искусственный камень,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кирпич-клинкер,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покрытия из дерева (дощатый настил, спилы),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плиточное мощение (бетонная плитка, плитка из натуральных каменных пород), каменный ковер,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газонная бетонная решетка,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металлические нескользящие (перфорированные или решетчатые) настилы из нержавеющей или оцинкованной стали,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комбинированные покрытия (заполнение газонной травой, щебнем, гравием),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сыпучие материалы,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гравий, щебень (фракция 0-20 мм),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мульча,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древесная щепа,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кора хвойных деревьев,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асфальтовая крошка,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резиновая крошка.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Для движения велосипедов и средств индивидуальной мобильности покрытие выполняется из резиновой крошки, песчано-гравийной смеси, грунтовой смеси с отсевом гравия.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Использование в качестве покрытия асфальтобетона, бетона возможно при реконструкции, капитальном и текущем ремонте объектов (элементов) благоустройства природных территорий, выполненных в данных видах покрытия ранее до проведения реконструкции, к</w:t>
      </w:r>
      <w:r>
        <w:rPr>
          <w:rFonts w:eastAsia="Calibri"/>
          <w:sz w:val="28"/>
          <w:szCs w:val="28"/>
          <w:lang w:eastAsia="en-US"/>
        </w:rPr>
        <w:t>апитального и текущего ремонта.</w:t>
      </w:r>
      <w:r w:rsidR="00305195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В остальных случаях применение асфальтобетона и бетона недопустимо.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lastRenderedPageBreak/>
        <w:t xml:space="preserve">Участки с сыпучими покрытиями должны быть ограничены приподнятым бортом и иметь уровень ниже борта во избежание высыпания, вымывания.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Для сложных стыков поверхностей необходимо использование металлических разделителей – ландшафтный тротуарный бордюр.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Покрытие должно иметь шероховатую и антискользящую поверхность.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При организации дорожно-тропиночной сети, ландшафтной (рельефной) организации и озеленении природных территорий необходимо применять элементы дренажных систем.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Вдоль основных путей движения на природных территориях необходимо обустройство буферных полос из водопроницаемых покрытий.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Цветовые решения покрытий должны соответствовать следующему перечню цветов: RAL 1001 бежевый, RAL 1002 песочно-желтый, RAL 1014 слоновая кость, RAL 1020 оливково-желтый, RAL 1019 серо-бежевый, RAL 1027 желтое карри, RAL 1024 охра желтая, RAL 7006 бежево-серый, RAL 7008 серое хаки, RAL 7034 желто-серый, RAL 8001 охра коричневая, RAL 8002 сигнальный коричневый, RAL 8003 глиняный коричневый, RAL 8004 медно-коричневый, RAL</w:t>
      </w:r>
      <w:r w:rsidR="00305195">
        <w:rPr>
          <w:rFonts w:eastAsia="Calibri"/>
          <w:sz w:val="28"/>
          <w:szCs w:val="28"/>
          <w:lang w:eastAsia="en-US"/>
        </w:rPr>
        <w:t> </w:t>
      </w:r>
      <w:r w:rsidRPr="00662C84">
        <w:rPr>
          <w:rFonts w:eastAsia="Calibri"/>
          <w:sz w:val="28"/>
          <w:szCs w:val="28"/>
          <w:lang w:eastAsia="en-US"/>
        </w:rPr>
        <w:t>8007 палево-коричневый, RAL 8008 оливково-коричневый, RAL 8011 орехово-коричневый, RAL 8012 красно-коричневый, RAL 8014 сепия коричневый, RAL</w:t>
      </w:r>
      <w:r w:rsidR="00305195">
        <w:rPr>
          <w:rFonts w:eastAsia="Calibri"/>
          <w:sz w:val="28"/>
          <w:szCs w:val="28"/>
          <w:lang w:eastAsia="en-US"/>
        </w:rPr>
        <w:t> </w:t>
      </w:r>
      <w:r w:rsidRPr="00662C84">
        <w:rPr>
          <w:rFonts w:eastAsia="Calibri"/>
          <w:sz w:val="28"/>
          <w:szCs w:val="28"/>
          <w:lang w:eastAsia="en-US"/>
        </w:rPr>
        <w:t>8015 каштаново-коричневый, RAL 8016 махагон коричневый, RAL 8017 шоколадно-коричневый, RAL 8023 оранжево-коричневый, RAL 8024 бежево-коричневый, RAL 8025 бледно-коричневый, RAL 8028 терракотовый.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Все применяемые материалы покрытий должны быть согласованными со сложившейся ландшафтной природной средой.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4. Для отведения поверхностных сточных вод на природной территории применяются дренажные системы с гравийным/твердым заполнением или небольшие ландшафтные впадины с кустарниковыми или травянистыми посадками, занимающими незначительную площадь поверхности (фито-фильтры). Допускается покрытие тонким слоем мульчи, которая отфильтровывает загрязняющие вещества из сточных вод и </w:t>
      </w:r>
      <w:r>
        <w:rPr>
          <w:rFonts w:eastAsia="Calibri"/>
          <w:sz w:val="28"/>
          <w:szCs w:val="28"/>
          <w:lang w:eastAsia="en-US"/>
        </w:rPr>
        <w:t>защищает нижележащие слои почвы</w:t>
      </w:r>
      <w:r w:rsidR="00305195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от размывания.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5. Система навигации на природной территории должна быть выполнена в едином визуальном решении, в соответствии с общими требованиями к навигации, установленными Правилами благоустройства территории города Перми.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2C84">
        <w:rPr>
          <w:rFonts w:eastAsia="Calibri"/>
          <w:bCs/>
          <w:sz w:val="28"/>
          <w:szCs w:val="28"/>
          <w:lang w:eastAsia="en-US"/>
        </w:rPr>
        <w:t>При размещении навигационных элементов на природной территории необходимо отображать сведения об особенностях природной территории (истории, достопримечательностях, экологической значимости), план-схему территории, контакты экстренных служб, информацию об обслуживающей организации (наименование, юридический и фактический адрес, номер телефона, адрес электронной почты).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Информация на навигационных элементах размещается шрифтом стандарта PermianSerifTypeface.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При организации на природной территории культурно-массовых и иных мероприятий, носящих временный характер, допускается размещение мобильных навигационных элементов, которые должны иметь скрытое крепление или достаточную жесткость для устойчивости конструкции. Установка мобильных навига</w:t>
      </w:r>
      <w:r w:rsidRPr="00662C84">
        <w:rPr>
          <w:rFonts w:eastAsia="Calibri"/>
          <w:sz w:val="28"/>
          <w:szCs w:val="28"/>
          <w:lang w:eastAsia="en-US"/>
        </w:rPr>
        <w:lastRenderedPageBreak/>
        <w:t>ционных элементов с обустройством внешнего утяжелителя на о</w:t>
      </w:r>
      <w:r>
        <w:rPr>
          <w:rFonts w:eastAsia="Calibri"/>
          <w:sz w:val="28"/>
          <w:szCs w:val="28"/>
          <w:lang w:eastAsia="en-US"/>
        </w:rPr>
        <w:t>порах</w:t>
      </w:r>
      <w:r w:rsidR="00305195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не допускается.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2C84">
        <w:rPr>
          <w:rFonts w:eastAsia="Calibri"/>
          <w:bCs/>
          <w:sz w:val="28"/>
          <w:szCs w:val="28"/>
          <w:lang w:eastAsia="en-US"/>
        </w:rPr>
        <w:t>6. Цветовое решение оборудования наружного освещения на природной территории должно быть приближено к естественным ландшафтным оттенкам.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Не рекомендуется использовать яркие цвета, находящиеся в красной, синей и зеленой цветовой палитре.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7. Размещение на природной территории детских площадок, спортивных площадок </w:t>
      </w:r>
      <w:r w:rsidR="004B4BBF" w:rsidRPr="006F3797">
        <w:rPr>
          <w:rFonts w:eastAsia="Calibri"/>
          <w:sz w:val="28"/>
          <w:szCs w:val="28"/>
          <w:lang w:eastAsia="en-US"/>
        </w:rPr>
        <w:t>осуществляется, как правило</w:t>
      </w:r>
      <w:r w:rsidR="004B4BBF" w:rsidRPr="004B4BBF">
        <w:rPr>
          <w:rFonts w:eastAsia="Calibri"/>
          <w:sz w:val="28"/>
          <w:szCs w:val="28"/>
          <w:lang w:eastAsia="en-US"/>
        </w:rPr>
        <w:t>,</w:t>
      </w:r>
      <w:r w:rsidR="004B4BBF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на участках, не занятых деревьями</w:t>
      </w:r>
      <w:r w:rsidR="00305195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и кустарниками.</w:t>
      </w:r>
    </w:p>
    <w:p w:rsidR="004711FB" w:rsidRDefault="00937950" w:rsidP="00305195">
      <w:pPr>
        <w:autoSpaceDE w:val="0"/>
        <w:autoSpaceDN w:val="0"/>
        <w:adjustRightInd w:val="0"/>
        <w:ind w:firstLine="709"/>
        <w:jc w:val="both"/>
      </w:pPr>
      <w:r w:rsidRPr="00662C84">
        <w:rPr>
          <w:rFonts w:eastAsia="Calibri"/>
          <w:sz w:val="28"/>
          <w:szCs w:val="28"/>
          <w:lang w:eastAsia="en-US"/>
        </w:rPr>
        <w:t>Игровое оборудование следу</w:t>
      </w:r>
      <w:r>
        <w:rPr>
          <w:rFonts w:eastAsia="Calibri"/>
          <w:sz w:val="28"/>
          <w:szCs w:val="28"/>
          <w:lang w:eastAsia="en-US"/>
        </w:rPr>
        <w:t>ет использовать преимущественно</w:t>
      </w:r>
      <w:r w:rsidR="00305195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из природных материалов.</w:t>
      </w:r>
    </w:p>
    <w:sectPr w:rsidR="004711FB" w:rsidSect="00305195">
      <w:headerReference w:type="default" r:id="rId9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4A" w:rsidRDefault="0005284A">
      <w:r>
        <w:separator/>
      </w:r>
    </w:p>
  </w:endnote>
  <w:endnote w:type="continuationSeparator" w:id="0">
    <w:p w:rsidR="0005284A" w:rsidRDefault="0005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4A" w:rsidRDefault="0005284A">
      <w:r>
        <w:separator/>
      </w:r>
    </w:p>
  </w:footnote>
  <w:footnote w:type="continuationSeparator" w:id="0">
    <w:p w:rsidR="0005284A" w:rsidRDefault="0005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84" w:rsidRDefault="00937950" w:rsidP="004E58FF">
    <w:pPr>
      <w:pStyle w:val="a6"/>
      <w:jc w:val="center"/>
    </w:pPr>
    <w:r w:rsidRPr="00FA1110">
      <w:fldChar w:fldCharType="begin"/>
    </w:r>
    <w:r w:rsidRPr="00FA1110">
      <w:instrText>PAGE   \* MERGEFORMAT</w:instrText>
    </w:r>
    <w:r w:rsidRPr="00FA1110">
      <w:fldChar w:fldCharType="separate"/>
    </w:r>
    <w:r w:rsidR="00687BFE">
      <w:rPr>
        <w:noProof/>
      </w:rPr>
      <w:t>2</w:t>
    </w:r>
    <w:r w:rsidRPr="00FA1110">
      <w:fldChar w:fldCharType="end"/>
    </w:r>
  </w:p>
  <w:p w:rsidR="00662C84" w:rsidRPr="00FA1110" w:rsidRDefault="0005284A" w:rsidP="004E58FF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A9" w:rsidRDefault="0093795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BA9" w:rsidRDefault="0005284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95" w:rsidRDefault="00305195" w:rsidP="004E58FF">
    <w:pPr>
      <w:pStyle w:val="a6"/>
      <w:jc w:val="center"/>
    </w:pPr>
    <w:r w:rsidRPr="00FA1110">
      <w:fldChar w:fldCharType="begin"/>
    </w:r>
    <w:r w:rsidRPr="00FA1110">
      <w:instrText>PAGE   \* MERGEFORMAT</w:instrText>
    </w:r>
    <w:r w:rsidRPr="00FA1110">
      <w:fldChar w:fldCharType="separate"/>
    </w:r>
    <w:r w:rsidR="00687BFE">
      <w:rPr>
        <w:noProof/>
      </w:rPr>
      <w:t>2</w:t>
    </w:r>
    <w:r w:rsidRPr="00FA1110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DC"/>
    <w:rsid w:val="00030B9F"/>
    <w:rsid w:val="0005284A"/>
    <w:rsid w:val="000F687B"/>
    <w:rsid w:val="00115509"/>
    <w:rsid w:val="001B1F90"/>
    <w:rsid w:val="001E2D48"/>
    <w:rsid w:val="002D2CD1"/>
    <w:rsid w:val="00305195"/>
    <w:rsid w:val="00356B4B"/>
    <w:rsid w:val="003E66D7"/>
    <w:rsid w:val="004711FB"/>
    <w:rsid w:val="004B4BBF"/>
    <w:rsid w:val="00687BFE"/>
    <w:rsid w:val="006D4EC4"/>
    <w:rsid w:val="006F3797"/>
    <w:rsid w:val="00937950"/>
    <w:rsid w:val="00943FC9"/>
    <w:rsid w:val="009B4BE3"/>
    <w:rsid w:val="00A22F53"/>
    <w:rsid w:val="00BB50C2"/>
    <w:rsid w:val="00BF4370"/>
    <w:rsid w:val="00C675DC"/>
    <w:rsid w:val="00D229F4"/>
    <w:rsid w:val="00D27611"/>
    <w:rsid w:val="00D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EE2DD-5C52-4715-A21E-D0C743D8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795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37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7950"/>
  </w:style>
  <w:style w:type="paragraph" w:styleId="a6">
    <w:name w:val="header"/>
    <w:basedOn w:val="a"/>
    <w:link w:val="a7"/>
    <w:uiPriority w:val="99"/>
    <w:rsid w:val="0093795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66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6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0519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Ольга Сергеевна</dc:creator>
  <cp:lastModifiedBy>Дубровина Ольга Юрьевна</cp:lastModifiedBy>
  <cp:revision>15</cp:revision>
  <cp:lastPrinted>2022-09-09T04:19:00Z</cp:lastPrinted>
  <dcterms:created xsi:type="dcterms:W3CDTF">2022-08-31T06:49:00Z</dcterms:created>
  <dcterms:modified xsi:type="dcterms:W3CDTF">2022-09-09T04:47:00Z</dcterms:modified>
</cp:coreProperties>
</file>