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947661" w:rsidRDefault="009476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75B6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947661" w:rsidRDefault="009476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75B6E">
                        <w:rPr>
                          <w:sz w:val="28"/>
                          <w:szCs w:val="28"/>
                          <w:u w:val="single"/>
                        </w:rPr>
                        <w:t xml:space="preserve"> 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476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476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A14F6" w:rsidRDefault="001A14F6" w:rsidP="001A14F6">
      <w:pPr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1A14F6">
        <w:rPr>
          <w:rFonts w:eastAsiaTheme="minorHAnsi"/>
          <w:b/>
          <w:sz w:val="28"/>
          <w:szCs w:val="28"/>
          <w:lang w:eastAsia="en-US"/>
        </w:rPr>
        <w:t xml:space="preserve">О внесении изменений в отдельные решения Пермской городской Думы </w:t>
      </w:r>
    </w:p>
    <w:p w:rsidR="001A14F6" w:rsidRPr="001A14F6" w:rsidRDefault="001A14F6" w:rsidP="001A14F6">
      <w:pPr>
        <w:spacing w:after="480"/>
        <w:jc w:val="center"/>
        <w:rPr>
          <w:rFonts w:eastAsiaTheme="minorHAnsi"/>
          <w:b/>
          <w:sz w:val="28"/>
          <w:szCs w:val="28"/>
          <w:lang w:eastAsia="en-US"/>
        </w:rPr>
      </w:pPr>
      <w:r w:rsidRPr="001A14F6">
        <w:rPr>
          <w:rFonts w:eastAsiaTheme="minorHAnsi"/>
          <w:b/>
          <w:sz w:val="28"/>
          <w:szCs w:val="28"/>
          <w:lang w:eastAsia="en-US"/>
        </w:rPr>
        <w:t>в сфере осуществления муниципального контроля</w:t>
      </w:r>
      <w:r w:rsidRPr="001A14F6">
        <w:rPr>
          <w:sz w:val="28"/>
          <w:szCs w:val="28"/>
        </w:rPr>
        <w:t xml:space="preserve"> </w:t>
      </w:r>
    </w:p>
    <w:p w:rsidR="001A14F6" w:rsidRPr="001A14F6" w:rsidRDefault="001A14F6" w:rsidP="001A14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 xml:space="preserve">В соответствии с </w:t>
      </w:r>
      <w:r w:rsidRPr="001A14F6">
        <w:rPr>
          <w:bCs/>
          <w:sz w:val="28"/>
          <w:szCs w:val="28"/>
          <w:lang w:eastAsia="zh-CN"/>
        </w:rPr>
        <w:t>Федеральным законом от 31.07.2020 № 248-ФЗ</w:t>
      </w:r>
      <w:r w:rsidR="00947661">
        <w:rPr>
          <w:bCs/>
          <w:sz w:val="28"/>
          <w:szCs w:val="28"/>
          <w:lang w:eastAsia="zh-CN"/>
        </w:rPr>
        <w:t xml:space="preserve"> </w:t>
      </w:r>
      <w:r w:rsidRPr="001A14F6">
        <w:rPr>
          <w:bCs/>
          <w:sz w:val="28"/>
          <w:szCs w:val="28"/>
          <w:lang w:eastAsia="zh-CN"/>
        </w:rPr>
        <w:t>«О государственном контроле (надзоре) и муниципальном контроле</w:t>
      </w:r>
      <w:r w:rsidR="00947661">
        <w:rPr>
          <w:bCs/>
          <w:sz w:val="28"/>
          <w:szCs w:val="28"/>
          <w:lang w:eastAsia="zh-CN"/>
        </w:rPr>
        <w:t xml:space="preserve"> </w:t>
      </w:r>
      <w:r w:rsidRPr="001A14F6">
        <w:rPr>
          <w:bCs/>
          <w:sz w:val="28"/>
          <w:szCs w:val="28"/>
          <w:lang w:eastAsia="zh-CN"/>
        </w:rPr>
        <w:t>в Российской Федерации», Уставом города Перми</w:t>
      </w:r>
    </w:p>
    <w:p w:rsidR="001A14F6" w:rsidRPr="001A14F6" w:rsidRDefault="001A14F6" w:rsidP="001A14F6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1A14F6">
        <w:rPr>
          <w:sz w:val="28"/>
          <w:szCs w:val="28"/>
        </w:rPr>
        <w:t xml:space="preserve">Пермская городская Дума </w:t>
      </w:r>
      <w:r w:rsidRPr="001A14F6">
        <w:rPr>
          <w:b/>
          <w:sz w:val="28"/>
          <w:szCs w:val="28"/>
        </w:rPr>
        <w:t>р е ш и л а</w:t>
      </w:r>
      <w:r w:rsidRPr="001A14F6">
        <w:rPr>
          <w:sz w:val="28"/>
          <w:szCs w:val="28"/>
        </w:rPr>
        <w:t>: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1. Внести в решение Пермской городской Думы от 21.12.2021 № 313 «О муниципальном жилищном контроле на территории города Перми (в редакции решений Пермской городской Думы от 22.02.2022 № 38,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от 24.05.2022 № 121) изменения:</w:t>
      </w:r>
    </w:p>
    <w:p w:rsidR="001A14F6" w:rsidRPr="001A14F6" w:rsidRDefault="00342947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</w:t>
      </w:r>
      <w:r w:rsidR="001A14F6" w:rsidRPr="001A14F6">
        <w:rPr>
          <w:sz w:val="28"/>
          <w:szCs w:val="28"/>
        </w:rPr>
        <w:t xml:space="preserve"> Положении о муниципальном жилищном контроле</w:t>
      </w:r>
      <w:r w:rsidR="00947661">
        <w:rPr>
          <w:sz w:val="28"/>
          <w:szCs w:val="28"/>
        </w:rPr>
        <w:t xml:space="preserve"> </w:t>
      </w:r>
      <w:r w:rsidR="001A14F6" w:rsidRPr="001A14F6">
        <w:rPr>
          <w:sz w:val="28"/>
          <w:szCs w:val="28"/>
        </w:rPr>
        <w:t>на территории города Перми (приложение 1):</w:t>
      </w:r>
    </w:p>
    <w:p w:rsidR="001A14F6" w:rsidRPr="001A14F6" w:rsidRDefault="003F537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r w:rsidR="00342947">
        <w:rPr>
          <w:sz w:val="28"/>
          <w:szCs w:val="28"/>
        </w:rPr>
        <w:t>п</w:t>
      </w:r>
      <w:r w:rsidR="001A14F6" w:rsidRPr="001A14F6">
        <w:rPr>
          <w:sz w:val="28"/>
          <w:szCs w:val="28"/>
        </w:rPr>
        <w:t>ункт 1.3 изложить в редакции: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«1.3. Предметом Муниципального контроля являются:</w:t>
      </w:r>
    </w:p>
    <w:p w:rsidR="001A14F6" w:rsidRPr="001A14F6" w:rsidRDefault="00342947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1A14F6" w:rsidRPr="001A14F6">
        <w:rPr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</w:t>
      </w:r>
      <w:r w:rsidR="00947661">
        <w:rPr>
          <w:sz w:val="28"/>
          <w:szCs w:val="28"/>
        </w:rPr>
        <w:t xml:space="preserve"> </w:t>
      </w:r>
      <w:r w:rsidR="001A14F6" w:rsidRPr="001A14F6">
        <w:rPr>
          <w:sz w:val="28"/>
          <w:szCs w:val="28"/>
        </w:rPr>
        <w:t>и о повышении энергетической эффективности в отношении муниципального жилищного фонда (далее – обязательные требования):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требований к использованию и сохранности жилищного фонда,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в том числе требований к жилым помещениям, их использованию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</w:t>
      </w:r>
      <w:r w:rsidR="00342947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и нежилого помещения в жилое в многоквартирном доме, порядку осуществления перепланировки и (или) переустройства помещений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в многоквартирном доме,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требований к формированию фондов капитального ремонта,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lastRenderedPageBreak/>
        <w:t>требований к предоставлению коммунальных услуг собственникам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и пользователям помещений в многоквартирных домах и жилых домов,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правил изменения размера платы за содержание жилого помещения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в случае оказания услуг и выполнения работ по управлению, содержанию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продолжительность,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правил содержания общего имущества в многоквартирном доме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и правил изменения размера платы за содержание жилого помещения,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в многоквартирных домах и жилых домов,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хозяйства,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требований к обеспечению доступности для инвалидов помещений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в многоквартирных домах,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требований к предоставлению жилых помещений в наемных домах социального использования,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в многоквартирном доме вентиляционных и дымовых каналов;</w:t>
      </w:r>
    </w:p>
    <w:p w:rsidR="001A14F6" w:rsidRPr="001A14F6" w:rsidRDefault="00342947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1A14F6" w:rsidRPr="001A14F6">
        <w:rPr>
          <w:sz w:val="28"/>
          <w:szCs w:val="28"/>
        </w:rPr>
        <w:t xml:space="preserve"> исполнение решений, принимаемых по результатам контрольных мероприятий.»;</w:t>
      </w:r>
    </w:p>
    <w:p w:rsidR="001A14F6" w:rsidRPr="001A14F6" w:rsidRDefault="00342947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1A14F6" w:rsidRPr="001A14F6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1A14F6" w:rsidRPr="001A14F6">
        <w:rPr>
          <w:sz w:val="28"/>
          <w:szCs w:val="28"/>
        </w:rPr>
        <w:t>пункт 2.15.1 изложить в редакции:</w:t>
      </w:r>
    </w:p>
    <w:p w:rsidR="001A14F6" w:rsidRPr="001A14F6" w:rsidRDefault="00947661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42947">
        <w:rPr>
          <w:sz w:val="28"/>
          <w:szCs w:val="28"/>
        </w:rPr>
        <w:t>2.15.1</w:t>
      </w:r>
      <w:r w:rsidR="001A14F6" w:rsidRPr="001A14F6">
        <w:rPr>
          <w:sz w:val="28"/>
          <w:szCs w:val="28"/>
        </w:rPr>
        <w:t xml:space="preserve"> поступление в Орган контроля в течение трёх месяцев подряд двух и</w:t>
      </w:r>
      <w:r w:rsidR="00342947">
        <w:rPr>
          <w:sz w:val="28"/>
          <w:szCs w:val="28"/>
        </w:rPr>
        <w:t> </w:t>
      </w:r>
      <w:r w:rsidR="001A14F6" w:rsidRPr="001A14F6">
        <w:rPr>
          <w:sz w:val="28"/>
          <w:szCs w:val="28"/>
        </w:rPr>
        <w:t>более протоколов общего собрания собственников помещений в многоквартирном доме, содержащих решения по аналогичным вопросам повестки дня;»;</w:t>
      </w:r>
    </w:p>
    <w:p w:rsidR="001A14F6" w:rsidRPr="001A14F6" w:rsidRDefault="00342947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1A14F6" w:rsidRPr="001A14F6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1A14F6" w:rsidRPr="001A14F6">
        <w:rPr>
          <w:sz w:val="28"/>
          <w:szCs w:val="28"/>
        </w:rPr>
        <w:t>пункт 2.15.2 изложить в редакции: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«2.15.2 выявление в течение трех месяцев более пяти фактов несоответствия (недостоверности) сведений (информации), полученных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от гражданина или организации, являющихся собственниками помещений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</w:t>
      </w:r>
      <w:r w:rsidR="003F5376">
        <w:rPr>
          <w:sz w:val="28"/>
          <w:szCs w:val="28"/>
        </w:rPr>
        <w:t>,</w:t>
      </w:r>
      <w:r w:rsidRPr="001A14F6">
        <w:rPr>
          <w:sz w:val="28"/>
          <w:szCs w:val="28"/>
        </w:rPr>
        <w:t xml:space="preserve"> и информации, размещённой контролируемым лицом в государственной информационной системе жилищно-коммунального хозяйства.»;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 xml:space="preserve">1.2 в Ключевых </w:t>
      </w:r>
      <w:hyperlink r:id="rId8" w:history="1">
        <w:r w:rsidRPr="001A14F6">
          <w:rPr>
            <w:sz w:val="28"/>
            <w:szCs w:val="28"/>
          </w:rPr>
          <w:t>показателях</w:t>
        </w:r>
      </w:hyperlink>
      <w:r w:rsidRPr="001A14F6">
        <w:rPr>
          <w:sz w:val="28"/>
          <w:szCs w:val="28"/>
        </w:rPr>
        <w:t xml:space="preserve"> и их целевых значениях, индикативных показателях муниципального жилищного контроля на территории города Перми (приложение 2):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 xml:space="preserve">1.2.1 дополнить </w:t>
      </w:r>
      <w:r w:rsidR="00342947">
        <w:rPr>
          <w:sz w:val="28"/>
          <w:szCs w:val="28"/>
        </w:rPr>
        <w:t>под</w:t>
      </w:r>
      <w:r w:rsidR="003F5376">
        <w:rPr>
          <w:sz w:val="28"/>
          <w:szCs w:val="28"/>
        </w:rPr>
        <w:t>пунктами</w:t>
      </w:r>
      <w:r w:rsidRPr="001A14F6">
        <w:rPr>
          <w:sz w:val="28"/>
          <w:szCs w:val="28"/>
        </w:rPr>
        <w:t xml:space="preserve"> 2.10</w:t>
      </w:r>
      <w:r w:rsidRPr="001A14F6">
        <w:rPr>
          <w:sz w:val="28"/>
          <w:szCs w:val="28"/>
          <w:vertAlign w:val="superscript"/>
        </w:rPr>
        <w:t>1</w:t>
      </w:r>
      <w:r w:rsidR="007663D1">
        <w:rPr>
          <w:sz w:val="28"/>
          <w:szCs w:val="28"/>
        </w:rPr>
        <w:t>-</w:t>
      </w:r>
      <w:r w:rsidR="003F5376" w:rsidRPr="001A14F6">
        <w:rPr>
          <w:sz w:val="28"/>
          <w:szCs w:val="28"/>
        </w:rPr>
        <w:t>2.10</w:t>
      </w:r>
      <w:r w:rsidR="003F5376">
        <w:rPr>
          <w:sz w:val="28"/>
          <w:szCs w:val="28"/>
          <w:vertAlign w:val="superscript"/>
        </w:rPr>
        <w:t>3</w:t>
      </w:r>
      <w:r w:rsidR="003F5376" w:rsidRPr="001A14F6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следующего содержания: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lastRenderedPageBreak/>
        <w:t>«2.10</w:t>
      </w:r>
      <w:r w:rsidRPr="001A14F6">
        <w:rPr>
          <w:sz w:val="28"/>
          <w:szCs w:val="28"/>
          <w:vertAlign w:val="superscript"/>
        </w:rPr>
        <w:t>1</w:t>
      </w:r>
      <w:r w:rsidRPr="001A14F6">
        <w:rPr>
          <w:sz w:val="28"/>
          <w:szCs w:val="28"/>
        </w:rPr>
        <w:t xml:space="preserve"> количество поступивших возражений на объявленные предостережения о недопустимости нарушения обязательных требований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за отчетный пери</w:t>
      </w:r>
      <w:r w:rsidR="003F5376">
        <w:rPr>
          <w:sz w:val="28"/>
          <w:szCs w:val="28"/>
        </w:rPr>
        <w:t>од;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2.10</w:t>
      </w:r>
      <w:r w:rsidRPr="001A14F6">
        <w:rPr>
          <w:sz w:val="28"/>
          <w:szCs w:val="28"/>
          <w:vertAlign w:val="superscript"/>
        </w:rPr>
        <w:t>2</w:t>
      </w:r>
      <w:r w:rsidRPr="001A14F6">
        <w:rPr>
          <w:sz w:val="28"/>
          <w:szCs w:val="28"/>
        </w:rPr>
        <w:t xml:space="preserve"> количество отменённых предостережений о недопустимости нарушения обязательных требований по результатам рассмотрения поступивших возра</w:t>
      </w:r>
      <w:r w:rsidR="003F5376">
        <w:rPr>
          <w:sz w:val="28"/>
          <w:szCs w:val="28"/>
        </w:rPr>
        <w:t>жений за отчетный период;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2.10</w:t>
      </w:r>
      <w:r w:rsidRPr="001A14F6">
        <w:rPr>
          <w:sz w:val="28"/>
          <w:szCs w:val="28"/>
          <w:vertAlign w:val="superscript"/>
        </w:rPr>
        <w:t>3</w:t>
      </w:r>
      <w:r w:rsidRPr="001A14F6">
        <w:rPr>
          <w:sz w:val="28"/>
          <w:szCs w:val="28"/>
        </w:rPr>
        <w:t xml:space="preserve"> количество рекомендаций по соблюдению обязательных требований, выданных за отчетный период;»;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1.2.</w:t>
      </w:r>
      <w:r w:rsidR="003F5376">
        <w:rPr>
          <w:sz w:val="28"/>
          <w:szCs w:val="28"/>
        </w:rPr>
        <w:t>2</w:t>
      </w:r>
      <w:r w:rsidRPr="001A14F6">
        <w:rPr>
          <w:sz w:val="28"/>
          <w:szCs w:val="28"/>
        </w:rPr>
        <w:t xml:space="preserve"> дополнить </w:t>
      </w:r>
      <w:r w:rsidR="00B06A3A">
        <w:rPr>
          <w:sz w:val="28"/>
          <w:szCs w:val="28"/>
        </w:rPr>
        <w:t>под</w:t>
      </w:r>
      <w:r w:rsidR="003F5376">
        <w:rPr>
          <w:sz w:val="28"/>
          <w:szCs w:val="28"/>
        </w:rPr>
        <w:t>пунктами</w:t>
      </w:r>
      <w:r w:rsidRPr="001A14F6">
        <w:rPr>
          <w:sz w:val="28"/>
          <w:szCs w:val="28"/>
        </w:rPr>
        <w:t xml:space="preserve"> 2.20</w:t>
      </w:r>
      <w:r w:rsidR="003F5376">
        <w:rPr>
          <w:sz w:val="28"/>
          <w:szCs w:val="28"/>
        </w:rPr>
        <w:t>-2.26</w:t>
      </w:r>
      <w:r w:rsidRPr="001A14F6">
        <w:rPr>
          <w:sz w:val="28"/>
          <w:szCs w:val="28"/>
        </w:rPr>
        <w:t xml:space="preserve"> следующего содержания:</w:t>
      </w:r>
    </w:p>
    <w:p w:rsidR="001A14F6" w:rsidRPr="001A14F6" w:rsidRDefault="00B06A3A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«2.20</w:t>
      </w:r>
      <w:r w:rsidR="001A14F6" w:rsidRPr="001A14F6">
        <w:rPr>
          <w:sz w:val="28"/>
          <w:szCs w:val="28"/>
        </w:rPr>
        <w:t xml:space="preserve"> количество жилых помещений муниципального жилищного фонда на</w:t>
      </w:r>
      <w:r>
        <w:rPr>
          <w:sz w:val="28"/>
          <w:szCs w:val="28"/>
        </w:rPr>
        <w:t> </w:t>
      </w:r>
      <w:r w:rsidR="007663D1">
        <w:rPr>
          <w:sz w:val="28"/>
          <w:szCs w:val="28"/>
        </w:rPr>
        <w:t>конец отчетного периода;</w:t>
      </w:r>
    </w:p>
    <w:p w:rsidR="001A14F6" w:rsidRPr="001A14F6" w:rsidRDefault="00B06A3A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1A14F6" w:rsidRPr="001A14F6">
        <w:rPr>
          <w:sz w:val="28"/>
          <w:szCs w:val="28"/>
        </w:rPr>
        <w:t xml:space="preserve"> количество многоквартирных домов, включающих в себя жилые помещения муниципального жилищного фон</w:t>
      </w:r>
      <w:r w:rsidR="007663D1">
        <w:rPr>
          <w:sz w:val="28"/>
          <w:szCs w:val="28"/>
        </w:rPr>
        <w:t>да на конец отчетного периода;</w:t>
      </w:r>
    </w:p>
    <w:p w:rsidR="001A14F6" w:rsidRPr="001A14F6" w:rsidRDefault="00B06A3A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663D1">
        <w:rPr>
          <w:sz w:val="28"/>
          <w:szCs w:val="28"/>
        </w:rPr>
        <w:t>2</w:t>
      </w:r>
      <w:r w:rsidR="001A14F6" w:rsidRPr="001A14F6">
        <w:rPr>
          <w:sz w:val="28"/>
          <w:szCs w:val="28"/>
        </w:rPr>
        <w:t xml:space="preserve"> доля многоквартирных домов, включающих в себя жилые помещения муниципального жилищного фонда, от общего количества многоквартирных дом</w:t>
      </w:r>
      <w:r w:rsidR="007663D1">
        <w:rPr>
          <w:sz w:val="28"/>
          <w:szCs w:val="28"/>
        </w:rPr>
        <w:t>ов на конец отчетного периода;</w:t>
      </w:r>
    </w:p>
    <w:p w:rsidR="001A14F6" w:rsidRPr="001A14F6" w:rsidRDefault="00B06A3A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1A14F6" w:rsidRPr="001A14F6">
        <w:rPr>
          <w:sz w:val="28"/>
          <w:szCs w:val="28"/>
        </w:rPr>
        <w:t xml:space="preserve"> количество объектов контроля, отнесенных к умеренной, средней и</w:t>
      </w:r>
      <w:r>
        <w:rPr>
          <w:sz w:val="28"/>
          <w:szCs w:val="28"/>
        </w:rPr>
        <w:t> </w:t>
      </w:r>
      <w:r w:rsidR="001A14F6" w:rsidRPr="001A14F6">
        <w:rPr>
          <w:sz w:val="28"/>
          <w:szCs w:val="28"/>
        </w:rPr>
        <w:t>высокой категориям риска, по каждой из категорий риск</w:t>
      </w:r>
      <w:r w:rsidR="007663D1">
        <w:rPr>
          <w:sz w:val="28"/>
          <w:szCs w:val="28"/>
        </w:rPr>
        <w:t>а, на конец отчетного периода;</w:t>
      </w:r>
    </w:p>
    <w:p w:rsidR="001A14F6" w:rsidRPr="001A14F6" w:rsidRDefault="007663D1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1A14F6" w:rsidRPr="001A14F6">
        <w:rPr>
          <w:sz w:val="28"/>
          <w:szCs w:val="28"/>
        </w:rPr>
        <w:t xml:space="preserve"> количество контролируемых лиц, в отношении которых проведены контрольные мероприятия с взаимодействием</w:t>
      </w:r>
      <w:r w:rsidR="00947661">
        <w:rPr>
          <w:sz w:val="28"/>
          <w:szCs w:val="28"/>
        </w:rPr>
        <w:t xml:space="preserve"> </w:t>
      </w:r>
      <w:r w:rsidR="001A14F6" w:rsidRPr="001A14F6">
        <w:rPr>
          <w:sz w:val="28"/>
          <w:szCs w:val="28"/>
        </w:rPr>
        <w:t>с контролируемыми лицами, за от</w:t>
      </w:r>
      <w:r>
        <w:rPr>
          <w:sz w:val="28"/>
          <w:szCs w:val="28"/>
        </w:rPr>
        <w:t>четный период;</w:t>
      </w:r>
    </w:p>
    <w:p w:rsidR="001A14F6" w:rsidRPr="001A14F6" w:rsidRDefault="00B06A3A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1A14F6" w:rsidRPr="001A14F6">
        <w:rPr>
          <w:sz w:val="28"/>
          <w:szCs w:val="28"/>
        </w:rPr>
        <w:t xml:space="preserve"> количество контролируемых лиц, в отношении которых объявлены предостережения о недопустимости нарушения обязательных требований, за от</w:t>
      </w:r>
      <w:r w:rsidR="007663D1">
        <w:rPr>
          <w:sz w:val="28"/>
          <w:szCs w:val="28"/>
        </w:rPr>
        <w:t>четный период;</w:t>
      </w:r>
    </w:p>
    <w:p w:rsidR="001A14F6" w:rsidRPr="001A14F6" w:rsidRDefault="00B06A3A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1A14F6" w:rsidRPr="001A14F6">
        <w:rPr>
          <w:sz w:val="28"/>
          <w:szCs w:val="28"/>
        </w:rPr>
        <w:t xml:space="preserve"> количество контролируемых лиц, которым выданы рекомендации по</w:t>
      </w:r>
      <w:r>
        <w:rPr>
          <w:sz w:val="28"/>
          <w:szCs w:val="28"/>
        </w:rPr>
        <w:t> </w:t>
      </w:r>
      <w:r w:rsidR="001A14F6" w:rsidRPr="001A14F6">
        <w:rPr>
          <w:sz w:val="28"/>
          <w:szCs w:val="28"/>
        </w:rPr>
        <w:t>соблюдению обязательных требований, за отчетный период.».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 xml:space="preserve">2. </w:t>
      </w:r>
      <w:r w:rsidR="00B06A3A" w:rsidRPr="00B06A3A">
        <w:rPr>
          <w:sz w:val="28"/>
          <w:szCs w:val="28"/>
        </w:rPr>
        <w:t>Внести в Ключевые показатели и их целевые значения, индикативные показатели муниципального контроля в сфере благоустройства на территории города Перми, утвержденные решением Пермской городской Думы от 21.12.2021 №</w:t>
      </w:r>
      <w:r w:rsidR="00B06A3A">
        <w:rPr>
          <w:sz w:val="28"/>
          <w:szCs w:val="28"/>
        </w:rPr>
        <w:t> </w:t>
      </w:r>
      <w:r w:rsidR="00B06A3A" w:rsidRPr="00B06A3A">
        <w:rPr>
          <w:sz w:val="28"/>
          <w:szCs w:val="28"/>
        </w:rPr>
        <w:t>319 «О муниципальном контроле в сфере благоустройства на территории города Перми» (в редакции решений Пермской городской Думы от 22.02.2022 № 34, от 24.05.2022 № 126), изменени</w:t>
      </w:r>
      <w:r w:rsidR="007663D1">
        <w:rPr>
          <w:sz w:val="28"/>
          <w:szCs w:val="28"/>
        </w:rPr>
        <w:t xml:space="preserve">е, дополнив </w:t>
      </w:r>
      <w:r w:rsidR="00B06A3A">
        <w:rPr>
          <w:sz w:val="28"/>
          <w:szCs w:val="28"/>
        </w:rPr>
        <w:t>под</w:t>
      </w:r>
      <w:r w:rsidRPr="001A14F6">
        <w:rPr>
          <w:sz w:val="28"/>
          <w:szCs w:val="28"/>
        </w:rPr>
        <w:t>пункт</w:t>
      </w:r>
      <w:r w:rsidR="007663D1">
        <w:rPr>
          <w:sz w:val="28"/>
          <w:szCs w:val="28"/>
        </w:rPr>
        <w:t>ами</w:t>
      </w:r>
      <w:r w:rsidRPr="001A14F6">
        <w:rPr>
          <w:sz w:val="28"/>
          <w:szCs w:val="28"/>
        </w:rPr>
        <w:t xml:space="preserve"> 2.4</w:t>
      </w:r>
      <w:r w:rsidRPr="001A14F6">
        <w:rPr>
          <w:sz w:val="28"/>
          <w:szCs w:val="28"/>
          <w:vertAlign w:val="superscript"/>
        </w:rPr>
        <w:t>1</w:t>
      </w:r>
      <w:r w:rsidR="009529BC">
        <w:rPr>
          <w:sz w:val="28"/>
          <w:szCs w:val="28"/>
        </w:rPr>
        <w:t xml:space="preserve">, </w:t>
      </w:r>
      <w:r w:rsidR="007663D1" w:rsidRPr="001A14F6">
        <w:rPr>
          <w:sz w:val="28"/>
          <w:szCs w:val="28"/>
        </w:rPr>
        <w:t>2.4</w:t>
      </w:r>
      <w:r w:rsidR="007663D1">
        <w:rPr>
          <w:sz w:val="28"/>
          <w:szCs w:val="28"/>
          <w:vertAlign w:val="superscript"/>
        </w:rPr>
        <w:t>2</w:t>
      </w:r>
      <w:r w:rsidR="007663D1" w:rsidRPr="001A14F6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следующего содержания: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«2.4</w:t>
      </w:r>
      <w:r w:rsidRPr="001A14F6">
        <w:rPr>
          <w:sz w:val="28"/>
          <w:szCs w:val="28"/>
          <w:vertAlign w:val="superscript"/>
        </w:rPr>
        <w:t>1</w:t>
      </w:r>
      <w:r w:rsidRPr="001A14F6">
        <w:rPr>
          <w:sz w:val="28"/>
          <w:szCs w:val="28"/>
        </w:rPr>
        <w:t xml:space="preserve"> количество поступивших возражений на объявленные предостережения о недопустимости нарушения обязательных требований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за отчетный пери</w:t>
      </w:r>
      <w:r w:rsidR="007663D1">
        <w:rPr>
          <w:sz w:val="28"/>
          <w:szCs w:val="28"/>
        </w:rPr>
        <w:t>од;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2.4</w:t>
      </w:r>
      <w:r w:rsidRPr="001A14F6">
        <w:rPr>
          <w:sz w:val="28"/>
          <w:szCs w:val="28"/>
          <w:vertAlign w:val="superscript"/>
        </w:rPr>
        <w:t>2</w:t>
      </w:r>
      <w:r w:rsidRPr="001A14F6">
        <w:rPr>
          <w:sz w:val="28"/>
          <w:szCs w:val="28"/>
        </w:rPr>
        <w:t xml:space="preserve"> количество отменённых предостережений по результатам рассмотрения поступивших возражений за отчетный период;».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3. Внести в решение Пермской городской Думы от 21.12.2021 № 315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(в редакции решений Пермской городской Думы от 22.02.2022 № 39,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от 24.05.2022 № 124) изменения:</w:t>
      </w:r>
    </w:p>
    <w:p w:rsidR="001A14F6" w:rsidRP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3.</w:t>
      </w:r>
      <w:r w:rsidR="00193888">
        <w:rPr>
          <w:sz w:val="28"/>
          <w:szCs w:val="28"/>
        </w:rPr>
        <w:t>1</w:t>
      </w:r>
      <w:r w:rsidRPr="001A14F6">
        <w:rPr>
          <w:sz w:val="28"/>
          <w:szCs w:val="28"/>
        </w:rPr>
        <w:t xml:space="preserve"> в Положении о муниципальном контроле за исполнением единой теплоснабжающей организацией обязательств по строительству, реконструкции и (или) </w:t>
      </w:r>
      <w:r w:rsidRPr="001A14F6">
        <w:rPr>
          <w:sz w:val="28"/>
          <w:szCs w:val="28"/>
        </w:rPr>
        <w:lastRenderedPageBreak/>
        <w:t>модернизации объектов теплоснабжения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на территории города Перми (приложение 1):</w:t>
      </w:r>
    </w:p>
    <w:p w:rsidR="001A14F6" w:rsidRPr="001A14F6" w:rsidRDefault="003768FC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83F">
        <w:rPr>
          <w:sz w:val="28"/>
          <w:szCs w:val="28"/>
        </w:rPr>
        <w:t>3.1.1</w:t>
      </w:r>
      <w:r w:rsidR="001A14F6" w:rsidRPr="009A783F">
        <w:rPr>
          <w:sz w:val="28"/>
          <w:szCs w:val="28"/>
        </w:rPr>
        <w:t xml:space="preserve"> пункт</w:t>
      </w:r>
      <w:r w:rsidR="001A14F6" w:rsidRPr="001A14F6">
        <w:rPr>
          <w:sz w:val="28"/>
          <w:szCs w:val="28"/>
        </w:rPr>
        <w:t xml:space="preserve"> 1.2 изложить в редакции:</w:t>
      </w:r>
    </w:p>
    <w:p w:rsidR="001A14F6" w:rsidRP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«1.2. Предметом Муниципального контроля является:</w:t>
      </w:r>
    </w:p>
    <w:p w:rsidR="001A14F6" w:rsidRPr="009A783F" w:rsidRDefault="003768FC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1A14F6" w:rsidRPr="001A14F6">
        <w:rPr>
          <w:sz w:val="28"/>
          <w:szCs w:val="28"/>
        </w:rPr>
        <w:t xml:space="preserve">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</w:t>
      </w:r>
      <w:r>
        <w:rPr>
          <w:sz w:val="28"/>
          <w:szCs w:val="28"/>
        </w:rPr>
        <w:t> </w:t>
      </w:r>
      <w:r w:rsidR="001A14F6" w:rsidRPr="001A14F6">
        <w:rPr>
          <w:sz w:val="28"/>
          <w:szCs w:val="28"/>
        </w:rPr>
        <w:t>энергетической эффективности системы теплоснабжения и определенных для</w:t>
      </w:r>
      <w:r>
        <w:rPr>
          <w:sz w:val="28"/>
          <w:szCs w:val="28"/>
        </w:rPr>
        <w:t> </w:t>
      </w:r>
      <w:r w:rsidR="001A14F6" w:rsidRPr="001A14F6">
        <w:rPr>
          <w:sz w:val="28"/>
          <w:szCs w:val="28"/>
        </w:rPr>
        <w:t xml:space="preserve">нее в схеме теплоснабжения, требований Федерального </w:t>
      </w:r>
      <w:hyperlink r:id="rId9">
        <w:r w:rsidR="001A14F6" w:rsidRPr="001A14F6">
          <w:rPr>
            <w:sz w:val="28"/>
            <w:szCs w:val="28"/>
          </w:rPr>
          <w:t>закона</w:t>
        </w:r>
      </w:hyperlink>
      <w:r w:rsidR="001A14F6" w:rsidRPr="001A14F6">
        <w:rPr>
          <w:sz w:val="28"/>
          <w:szCs w:val="28"/>
        </w:rPr>
        <w:t xml:space="preserve"> от 27.07.2010 </w:t>
      </w:r>
      <w:r w:rsidR="001A14F6" w:rsidRPr="009A783F">
        <w:rPr>
          <w:sz w:val="28"/>
          <w:szCs w:val="28"/>
        </w:rPr>
        <w:t>№ 190-ФЗ</w:t>
      </w:r>
      <w:r w:rsidR="00193888" w:rsidRPr="009A783F">
        <w:rPr>
          <w:sz w:val="28"/>
          <w:szCs w:val="28"/>
        </w:rPr>
        <w:t xml:space="preserve"> </w:t>
      </w:r>
      <w:r w:rsidR="001A14F6" w:rsidRPr="009A783F">
        <w:rPr>
          <w:sz w:val="28"/>
          <w:szCs w:val="28"/>
        </w:rPr>
        <w:t>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 (д</w:t>
      </w:r>
      <w:r w:rsidR="007663D1">
        <w:rPr>
          <w:sz w:val="28"/>
          <w:szCs w:val="28"/>
        </w:rPr>
        <w:t>алее - обязательные требования);</w:t>
      </w:r>
    </w:p>
    <w:p w:rsidR="001A14F6" w:rsidRPr="009A783F" w:rsidRDefault="003768FC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83F">
        <w:rPr>
          <w:sz w:val="28"/>
          <w:szCs w:val="28"/>
        </w:rPr>
        <w:t>1.2.2</w:t>
      </w:r>
      <w:r w:rsidR="001A14F6" w:rsidRPr="009A783F">
        <w:rPr>
          <w:sz w:val="28"/>
          <w:szCs w:val="28"/>
        </w:rPr>
        <w:t xml:space="preserve"> исполнение решений, принимаемых по результатам контрольных ме</w:t>
      </w:r>
      <w:r w:rsidRPr="009A783F">
        <w:rPr>
          <w:sz w:val="28"/>
          <w:szCs w:val="28"/>
        </w:rPr>
        <w:t>роприятий.»;</w:t>
      </w:r>
    </w:p>
    <w:p w:rsidR="001A14F6" w:rsidRPr="009A783F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83F">
        <w:rPr>
          <w:sz w:val="28"/>
          <w:szCs w:val="28"/>
        </w:rPr>
        <w:t>3.</w:t>
      </w:r>
      <w:r w:rsidR="003768FC" w:rsidRPr="009A783F">
        <w:rPr>
          <w:sz w:val="28"/>
          <w:szCs w:val="28"/>
        </w:rPr>
        <w:t>1</w:t>
      </w:r>
      <w:r w:rsidR="009A783F">
        <w:rPr>
          <w:sz w:val="28"/>
          <w:szCs w:val="28"/>
        </w:rPr>
        <w:t>.2</w:t>
      </w:r>
      <w:r w:rsidRPr="009A783F">
        <w:rPr>
          <w:sz w:val="28"/>
          <w:szCs w:val="28"/>
        </w:rPr>
        <w:t xml:space="preserve"> пункт 2.3 дополнить</w:t>
      </w:r>
      <w:r w:rsidR="007D1959" w:rsidRPr="009A783F">
        <w:rPr>
          <w:sz w:val="28"/>
          <w:szCs w:val="28"/>
        </w:rPr>
        <w:t xml:space="preserve"> абзацем следующего содержания:</w:t>
      </w:r>
    </w:p>
    <w:p w:rsidR="001A14F6" w:rsidRPr="009A783F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83F">
        <w:rPr>
          <w:sz w:val="28"/>
          <w:szCs w:val="28"/>
        </w:rPr>
        <w:t>«профилактический визит.»;</w:t>
      </w:r>
    </w:p>
    <w:p w:rsidR="009A783F" w:rsidRPr="009A783F" w:rsidRDefault="009A783F" w:rsidP="009A783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A783F">
        <w:rPr>
          <w:sz w:val="28"/>
          <w:szCs w:val="28"/>
        </w:rPr>
        <w:t>3.1.3 пункт 2.8 изложить в редакции:</w:t>
      </w:r>
    </w:p>
    <w:p w:rsidR="009A783F" w:rsidRPr="009A783F" w:rsidRDefault="009A783F" w:rsidP="009A783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A783F">
        <w:rPr>
          <w:sz w:val="28"/>
          <w:szCs w:val="28"/>
        </w:rPr>
        <w:t>«2.8. Орган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с учетом регистрации в журнале, форма которого утверждается правовым актом администрации города Перми.»;</w:t>
      </w:r>
    </w:p>
    <w:p w:rsidR="009A783F" w:rsidRPr="009A783F" w:rsidRDefault="009A783F" w:rsidP="009A7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83F">
        <w:rPr>
          <w:sz w:val="28"/>
          <w:szCs w:val="28"/>
        </w:rPr>
        <w:t>3.1.4 пункт 2.19 дополнить предложением следующего содержания:</w:t>
      </w:r>
    </w:p>
    <w:p w:rsidR="009A783F" w:rsidRPr="009A783F" w:rsidRDefault="009A783F" w:rsidP="009A7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83F">
        <w:rPr>
          <w:sz w:val="28"/>
          <w:szCs w:val="28"/>
        </w:rPr>
        <w:t>«При проведении консультирования во время профилактического визита запись о проведенной консультации отражается в журнале консультирования.»;</w:t>
      </w:r>
    </w:p>
    <w:p w:rsidR="001A14F6" w:rsidRP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83F">
        <w:rPr>
          <w:sz w:val="28"/>
          <w:szCs w:val="28"/>
        </w:rPr>
        <w:t>3.</w:t>
      </w:r>
      <w:r w:rsidR="007D1959" w:rsidRPr="009A783F">
        <w:rPr>
          <w:sz w:val="28"/>
          <w:szCs w:val="28"/>
        </w:rPr>
        <w:t>1.</w:t>
      </w:r>
      <w:r w:rsidR="009A783F" w:rsidRPr="009A783F">
        <w:rPr>
          <w:sz w:val="28"/>
          <w:szCs w:val="28"/>
        </w:rPr>
        <w:t>5</w:t>
      </w:r>
      <w:r w:rsidRPr="009A783F">
        <w:rPr>
          <w:sz w:val="28"/>
          <w:szCs w:val="28"/>
        </w:rPr>
        <w:t xml:space="preserve"> дополнить пунктом 2.21 следующего содержания:</w:t>
      </w:r>
    </w:p>
    <w:p w:rsidR="001A14F6" w:rsidRP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«2.21. Профилактический визит:</w:t>
      </w:r>
    </w:p>
    <w:p w:rsidR="001A14F6" w:rsidRP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2.21.1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В ходе профилактического визита контролируемое лицо информируется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об обязательных требованиях, предъявляемых к его деятельности либо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к прин</w:t>
      </w:r>
      <w:r w:rsidR="00193888">
        <w:rPr>
          <w:sz w:val="28"/>
          <w:szCs w:val="28"/>
        </w:rPr>
        <w:t xml:space="preserve">адлежащим ему объектам </w:t>
      </w:r>
      <w:r w:rsidR="009529BC">
        <w:rPr>
          <w:sz w:val="28"/>
          <w:szCs w:val="28"/>
        </w:rPr>
        <w:t>М</w:t>
      </w:r>
      <w:r w:rsidR="007663D1">
        <w:rPr>
          <w:sz w:val="28"/>
          <w:szCs w:val="28"/>
        </w:rPr>
        <w:t xml:space="preserve">униципального </w:t>
      </w:r>
      <w:r w:rsidR="00193888">
        <w:rPr>
          <w:sz w:val="28"/>
          <w:szCs w:val="28"/>
        </w:rPr>
        <w:t>контроля</w:t>
      </w:r>
      <w:r w:rsidRPr="001A14F6">
        <w:rPr>
          <w:sz w:val="28"/>
          <w:szCs w:val="28"/>
        </w:rPr>
        <w:t>;</w:t>
      </w:r>
    </w:p>
    <w:p w:rsidR="001A14F6" w:rsidRP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2.21.2 в ходе профилактического визита Инспектором может осуществляться консультирование контролируемого лица в порядке, установленном</w:t>
      </w:r>
      <w:r w:rsidR="003768FC">
        <w:rPr>
          <w:sz w:val="28"/>
          <w:szCs w:val="28"/>
        </w:rPr>
        <w:t xml:space="preserve"> пунктами 2.14-2.20 настоящего Положения</w:t>
      </w:r>
      <w:r w:rsidRPr="001A14F6">
        <w:rPr>
          <w:sz w:val="28"/>
          <w:szCs w:val="28"/>
        </w:rPr>
        <w:t>;</w:t>
      </w:r>
    </w:p>
    <w:p w:rsidR="001A14F6" w:rsidRPr="001A14F6" w:rsidRDefault="003768FC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8FC">
        <w:rPr>
          <w:sz w:val="28"/>
          <w:szCs w:val="28"/>
        </w:rPr>
        <w:t>2.21.3 продолжительность обязательного профилактического визита не мо</w:t>
      </w:r>
      <w:r>
        <w:rPr>
          <w:sz w:val="28"/>
          <w:szCs w:val="28"/>
        </w:rPr>
        <w:t>жет превышать 8 часов</w:t>
      </w:r>
      <w:r w:rsidR="001A14F6" w:rsidRPr="001A14F6">
        <w:rPr>
          <w:sz w:val="28"/>
          <w:szCs w:val="28"/>
        </w:rPr>
        <w:t>;</w:t>
      </w:r>
    </w:p>
    <w:p w:rsidR="001A14F6" w:rsidRP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2.21.4 проведение обязательных профилактических визитов должно быть предусмотрено в отношении контролируемых лиц, приступающих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к осуществлению де</w:t>
      </w:r>
      <w:r w:rsidR="003768FC">
        <w:rPr>
          <w:sz w:val="28"/>
          <w:szCs w:val="28"/>
        </w:rPr>
        <w:t>ятельности в определенной сфере</w:t>
      </w:r>
      <w:r w:rsidRPr="001A14F6">
        <w:rPr>
          <w:sz w:val="28"/>
          <w:szCs w:val="28"/>
        </w:rPr>
        <w:t>;</w:t>
      </w:r>
    </w:p>
    <w:p w:rsidR="001A14F6" w:rsidRP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2.21.5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проведения;</w:t>
      </w:r>
    </w:p>
    <w:p w:rsidR="001A14F6" w:rsidRP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lastRenderedPageBreak/>
        <w:t>2.21.6 контролируемое лицо вправе отказаться от проведения обязательного профилактического визита, уведомив об этом Орган контроля не позднее чем за три рабочих дня до даты его проведения;</w:t>
      </w:r>
    </w:p>
    <w:p w:rsidR="001A14F6" w:rsidRP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2.21.7 Орган контроля обязан предложить проведение профилактического визита лицам, приступающим к осуществлению деятельности в определенной сфере,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не позднее чем в течение одного года с момента начала такой деятельности;</w:t>
      </w:r>
    </w:p>
    <w:p w:rsidR="001A14F6" w:rsidRP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2.21.8 при проведении профилактического визита организациям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не могут выдаваться предписания об устранении нарушений обязательных требований. Разъяснения, полученные контролируемым лицом</w:t>
      </w:r>
      <w:r w:rsidR="00947661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в ходе профилактического визита, носят рекомендательный характер;</w:t>
      </w:r>
    </w:p>
    <w:p w:rsidR="003768FC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2.21.9 в случае, если при проведении профилактического визита установлено, что объекты</w:t>
      </w:r>
      <w:r w:rsidR="007663D1">
        <w:rPr>
          <w:sz w:val="28"/>
          <w:szCs w:val="28"/>
        </w:rPr>
        <w:t xml:space="preserve"> </w:t>
      </w:r>
      <w:r w:rsidR="009529BC">
        <w:rPr>
          <w:sz w:val="28"/>
          <w:szCs w:val="28"/>
        </w:rPr>
        <w:t>М</w:t>
      </w:r>
      <w:r w:rsidR="007663D1">
        <w:rPr>
          <w:sz w:val="28"/>
          <w:szCs w:val="28"/>
        </w:rPr>
        <w:t>униципального</w:t>
      </w:r>
      <w:r w:rsidRPr="001A14F6">
        <w:rPr>
          <w:sz w:val="28"/>
          <w:szCs w:val="28"/>
        </w:rPr>
        <w:t xml:space="preserve">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7663D1">
        <w:rPr>
          <w:sz w:val="28"/>
          <w:szCs w:val="28"/>
        </w:rPr>
        <w:t>И</w:t>
      </w:r>
      <w:r w:rsidRPr="001A14F6">
        <w:rPr>
          <w:sz w:val="28"/>
          <w:szCs w:val="28"/>
        </w:rPr>
        <w:t>нспектор незамедлительно направляет информацию об этом уполномоченному должностному лицу Органа контроля для принятия решения о проведении контрольных мероприя</w:t>
      </w:r>
      <w:r w:rsidR="003768FC">
        <w:rPr>
          <w:sz w:val="28"/>
          <w:szCs w:val="28"/>
        </w:rPr>
        <w:t>тий;</w:t>
      </w:r>
    </w:p>
    <w:p w:rsidR="001A14F6" w:rsidRPr="001A14F6" w:rsidRDefault="003768FC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C00">
        <w:rPr>
          <w:color w:val="000000"/>
          <w:sz w:val="28"/>
          <w:szCs w:val="28"/>
        </w:rPr>
        <w:t>2.21.10 Орган контроля осуществляет учет профилактических визитов, который проводится посредством внесения соответствующей записи в журнал профилактических визитов, форма которого утверждается правовым актом администрации го</w:t>
      </w:r>
      <w:r>
        <w:rPr>
          <w:color w:val="000000"/>
          <w:sz w:val="28"/>
          <w:szCs w:val="28"/>
        </w:rPr>
        <w:t>рода Перми.</w:t>
      </w:r>
      <w:r w:rsidR="001A14F6" w:rsidRPr="001A14F6">
        <w:rPr>
          <w:sz w:val="28"/>
          <w:szCs w:val="28"/>
        </w:rPr>
        <w:t>»;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A783F">
        <w:rPr>
          <w:sz w:val="28"/>
          <w:szCs w:val="28"/>
        </w:rPr>
        <w:t>3.</w:t>
      </w:r>
      <w:r w:rsidR="00920E87" w:rsidRPr="009A783F">
        <w:rPr>
          <w:sz w:val="28"/>
          <w:szCs w:val="28"/>
        </w:rPr>
        <w:t>1</w:t>
      </w:r>
      <w:r w:rsidR="009A783F">
        <w:rPr>
          <w:sz w:val="28"/>
          <w:szCs w:val="28"/>
        </w:rPr>
        <w:t>.6</w:t>
      </w:r>
      <w:r w:rsidRPr="001A14F6">
        <w:rPr>
          <w:sz w:val="28"/>
          <w:szCs w:val="28"/>
        </w:rPr>
        <w:t xml:space="preserve"> </w:t>
      </w:r>
      <w:r w:rsidR="007663D1">
        <w:rPr>
          <w:sz w:val="28"/>
          <w:szCs w:val="28"/>
        </w:rPr>
        <w:t>под</w:t>
      </w:r>
      <w:r w:rsidRPr="001A14F6">
        <w:rPr>
          <w:sz w:val="28"/>
          <w:szCs w:val="28"/>
        </w:rPr>
        <w:t>пункты 3.4</w:t>
      </w:r>
      <w:r w:rsidRPr="001A14F6">
        <w:rPr>
          <w:sz w:val="28"/>
          <w:szCs w:val="28"/>
          <w:vertAlign w:val="superscript"/>
        </w:rPr>
        <w:t>1</w:t>
      </w:r>
      <w:r w:rsidR="00920E87">
        <w:rPr>
          <w:sz w:val="28"/>
          <w:szCs w:val="28"/>
        </w:rPr>
        <w:t>.2</w:t>
      </w:r>
      <w:r w:rsidRPr="001A14F6">
        <w:rPr>
          <w:sz w:val="28"/>
          <w:szCs w:val="28"/>
        </w:rPr>
        <w:t xml:space="preserve"> и 3.4</w:t>
      </w:r>
      <w:r w:rsidRPr="001A14F6">
        <w:rPr>
          <w:sz w:val="28"/>
          <w:szCs w:val="28"/>
          <w:vertAlign w:val="superscript"/>
        </w:rPr>
        <w:t>1</w:t>
      </w:r>
      <w:r w:rsidR="00920E87">
        <w:rPr>
          <w:sz w:val="28"/>
          <w:szCs w:val="28"/>
        </w:rPr>
        <w:t>.3 признать утратившими силу</w:t>
      </w:r>
      <w:r w:rsidR="009A783F">
        <w:rPr>
          <w:sz w:val="28"/>
          <w:szCs w:val="28"/>
        </w:rPr>
        <w:t>;</w:t>
      </w:r>
    </w:p>
    <w:p w:rsidR="001A14F6" w:rsidRPr="001A14F6" w:rsidRDefault="009A783F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в</w:t>
      </w:r>
      <w:r w:rsidR="001A14F6" w:rsidRPr="001A14F6">
        <w:rPr>
          <w:sz w:val="28"/>
          <w:szCs w:val="28"/>
        </w:rPr>
        <w:t xml:space="preserve"> Ключевых </w:t>
      </w:r>
      <w:hyperlink r:id="rId10" w:history="1">
        <w:r w:rsidR="001A14F6" w:rsidRPr="001A14F6">
          <w:rPr>
            <w:sz w:val="28"/>
            <w:szCs w:val="28"/>
          </w:rPr>
          <w:t>показателях</w:t>
        </w:r>
      </w:hyperlink>
      <w:r w:rsidR="001A14F6" w:rsidRPr="001A14F6">
        <w:rPr>
          <w:sz w:val="28"/>
          <w:szCs w:val="28"/>
        </w:rPr>
        <w:t xml:space="preserve"> и их целевых значениях, индикативных показателях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47661">
        <w:rPr>
          <w:sz w:val="28"/>
          <w:szCs w:val="28"/>
        </w:rPr>
        <w:t xml:space="preserve"> </w:t>
      </w:r>
      <w:r w:rsidR="001A14F6" w:rsidRPr="001A14F6">
        <w:rPr>
          <w:sz w:val="28"/>
          <w:szCs w:val="28"/>
        </w:rPr>
        <w:t>на территории города Перми (приложение 2):</w:t>
      </w:r>
    </w:p>
    <w:p w:rsidR="001A14F6" w:rsidRDefault="001A14F6" w:rsidP="001A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FB5">
        <w:rPr>
          <w:sz w:val="28"/>
          <w:szCs w:val="28"/>
        </w:rPr>
        <w:t>3.</w:t>
      </w:r>
      <w:r w:rsidR="009A783F" w:rsidRPr="00341FB5">
        <w:rPr>
          <w:sz w:val="28"/>
          <w:szCs w:val="28"/>
        </w:rPr>
        <w:t>2.1</w:t>
      </w:r>
      <w:r w:rsidRPr="001A14F6">
        <w:rPr>
          <w:sz w:val="28"/>
          <w:szCs w:val="28"/>
        </w:rPr>
        <w:t xml:space="preserve"> </w:t>
      </w:r>
      <w:r w:rsidR="009A783F">
        <w:rPr>
          <w:sz w:val="28"/>
          <w:szCs w:val="28"/>
        </w:rPr>
        <w:t>т</w:t>
      </w:r>
      <w:r w:rsidRPr="001A14F6">
        <w:rPr>
          <w:sz w:val="28"/>
          <w:szCs w:val="28"/>
        </w:rPr>
        <w:t xml:space="preserve">аблицу </w:t>
      </w:r>
      <w:r w:rsidR="009A783F">
        <w:rPr>
          <w:sz w:val="28"/>
          <w:szCs w:val="28"/>
        </w:rPr>
        <w:t>пункта 1</w:t>
      </w:r>
      <w:r w:rsidRPr="001A14F6">
        <w:rPr>
          <w:sz w:val="28"/>
          <w:szCs w:val="28"/>
        </w:rPr>
        <w:t xml:space="preserve"> изложить</w:t>
      </w:r>
      <w:r w:rsidR="00947661">
        <w:rPr>
          <w:sz w:val="28"/>
          <w:szCs w:val="28"/>
        </w:rPr>
        <w:t xml:space="preserve"> </w:t>
      </w:r>
      <w:r w:rsidR="006275D1">
        <w:rPr>
          <w:sz w:val="28"/>
          <w:szCs w:val="28"/>
        </w:rPr>
        <w:t>в</w:t>
      </w:r>
      <w:r w:rsidRPr="001A14F6">
        <w:rPr>
          <w:sz w:val="28"/>
          <w:szCs w:val="28"/>
        </w:rPr>
        <w:t xml:space="preserve"> редакции</w:t>
      </w:r>
      <w:r w:rsidR="009A783F">
        <w:rPr>
          <w:sz w:val="28"/>
          <w:szCs w:val="28"/>
        </w:rPr>
        <w:t>:</w:t>
      </w:r>
    </w:p>
    <w:p w:rsidR="009A783F" w:rsidRPr="001A14F6" w:rsidRDefault="004D5EBB" w:rsidP="007663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7109"/>
        <w:gridCol w:w="2408"/>
      </w:tblGrid>
      <w:tr w:rsidR="001A14F6" w:rsidRPr="001A14F6" w:rsidTr="004D5EBB">
        <w:tc>
          <w:tcPr>
            <w:tcW w:w="257" w:type="pct"/>
            <w:shd w:val="clear" w:color="auto" w:fill="auto"/>
          </w:tcPr>
          <w:p w:rsidR="001A14F6" w:rsidRPr="001A14F6" w:rsidRDefault="001A14F6" w:rsidP="001A14F6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543" w:type="pct"/>
            <w:shd w:val="clear" w:color="auto" w:fill="auto"/>
          </w:tcPr>
          <w:p w:rsidR="001A14F6" w:rsidRPr="001A14F6" w:rsidRDefault="001A14F6" w:rsidP="001A14F6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00" w:type="pct"/>
            <w:shd w:val="clear" w:color="auto" w:fill="auto"/>
          </w:tcPr>
          <w:p w:rsidR="001A14F6" w:rsidRPr="001A14F6" w:rsidRDefault="001A14F6" w:rsidP="004D5EBB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>Целевое значение ключевого</w:t>
            </w:r>
            <w:r w:rsidR="004D5EBB">
              <w:rPr>
                <w:rFonts w:eastAsia="Calibri"/>
                <w:sz w:val="28"/>
                <w:szCs w:val="28"/>
              </w:rPr>
              <w:br/>
            </w:r>
            <w:r w:rsidRPr="001A14F6">
              <w:rPr>
                <w:rFonts w:eastAsia="Calibri"/>
                <w:sz w:val="28"/>
                <w:szCs w:val="28"/>
              </w:rPr>
              <w:t>показателя, %</w:t>
            </w:r>
          </w:p>
        </w:tc>
      </w:tr>
      <w:tr w:rsidR="001A14F6" w:rsidRPr="001A14F6" w:rsidTr="004D5EBB">
        <w:tc>
          <w:tcPr>
            <w:tcW w:w="257" w:type="pct"/>
            <w:shd w:val="clear" w:color="auto" w:fill="auto"/>
          </w:tcPr>
          <w:p w:rsidR="001A14F6" w:rsidRPr="001A14F6" w:rsidRDefault="001A14F6" w:rsidP="001A14F6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43" w:type="pct"/>
            <w:shd w:val="clear" w:color="auto" w:fill="auto"/>
          </w:tcPr>
          <w:p w:rsidR="001A14F6" w:rsidRPr="001A14F6" w:rsidRDefault="001A14F6" w:rsidP="004D5EBB">
            <w:pPr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>Полнота информации, размещенной на официальном сайте органа муниципального контроля за исполнением единой теплоснабжающей организацией обязательств по</w:t>
            </w:r>
            <w:r w:rsidR="004D5EBB">
              <w:rPr>
                <w:rFonts w:eastAsia="Calibri"/>
                <w:sz w:val="28"/>
                <w:szCs w:val="28"/>
              </w:rPr>
              <w:t> </w:t>
            </w:r>
            <w:r w:rsidRPr="001A14F6">
              <w:rPr>
                <w:rFonts w:eastAsia="Calibri"/>
                <w:sz w:val="28"/>
                <w:szCs w:val="28"/>
              </w:rPr>
              <w:t>строительству, реконструкции и (или) модернизации объектов теплоснабжения на территории города Перми в</w:t>
            </w:r>
            <w:r w:rsidR="004D5EBB">
              <w:rPr>
                <w:rFonts w:eastAsia="Calibri"/>
                <w:sz w:val="28"/>
                <w:szCs w:val="28"/>
              </w:rPr>
              <w:t> </w:t>
            </w:r>
            <w:r w:rsidRPr="001A14F6">
              <w:rPr>
                <w:rFonts w:eastAsia="Calibri"/>
                <w:sz w:val="28"/>
                <w:szCs w:val="28"/>
              </w:rPr>
              <w:t>информационно-телекоммуникационной сети Интернет в соответствии с частью 3 статьи 46 Федерального закона от 31.07.2020 № 248-ФЗ «О государственном контроле (надзоре) и муниципальном контроле в Российской Федерации»</w:t>
            </w:r>
          </w:p>
        </w:tc>
        <w:tc>
          <w:tcPr>
            <w:tcW w:w="1200" w:type="pct"/>
            <w:shd w:val="clear" w:color="auto" w:fill="auto"/>
          </w:tcPr>
          <w:p w:rsidR="001A14F6" w:rsidRPr="001A14F6" w:rsidRDefault="001A14F6" w:rsidP="001A14F6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1A14F6" w:rsidRPr="001A14F6" w:rsidTr="004D5EBB">
        <w:tc>
          <w:tcPr>
            <w:tcW w:w="257" w:type="pct"/>
            <w:shd w:val="clear" w:color="auto" w:fill="auto"/>
          </w:tcPr>
          <w:p w:rsidR="001A14F6" w:rsidRPr="001A14F6" w:rsidRDefault="009A783F" w:rsidP="001A14F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43" w:type="pct"/>
            <w:shd w:val="clear" w:color="auto" w:fill="auto"/>
          </w:tcPr>
          <w:p w:rsidR="001A14F6" w:rsidRPr="001A14F6" w:rsidRDefault="001A14F6" w:rsidP="001A14F6">
            <w:pPr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 взаимодействием с контроли</w:t>
            </w:r>
            <w:r w:rsidRPr="001A14F6">
              <w:rPr>
                <w:rFonts w:eastAsia="Calibri"/>
                <w:sz w:val="28"/>
                <w:szCs w:val="28"/>
              </w:rPr>
              <w:lastRenderedPageBreak/>
              <w:t>руемыми лицами за календарный год (далее – отчетный период)</w:t>
            </w:r>
          </w:p>
        </w:tc>
        <w:tc>
          <w:tcPr>
            <w:tcW w:w="1200" w:type="pct"/>
            <w:shd w:val="clear" w:color="auto" w:fill="auto"/>
          </w:tcPr>
          <w:p w:rsidR="001A14F6" w:rsidRPr="001A14F6" w:rsidRDefault="001A14F6" w:rsidP="001A14F6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lastRenderedPageBreak/>
              <w:t xml:space="preserve">не менее 80 </w:t>
            </w:r>
          </w:p>
        </w:tc>
      </w:tr>
      <w:tr w:rsidR="001A14F6" w:rsidRPr="001A14F6" w:rsidTr="004D5EBB">
        <w:tc>
          <w:tcPr>
            <w:tcW w:w="257" w:type="pct"/>
            <w:shd w:val="clear" w:color="auto" w:fill="auto"/>
          </w:tcPr>
          <w:p w:rsidR="001A14F6" w:rsidRPr="001A14F6" w:rsidRDefault="009A783F" w:rsidP="001A14F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543" w:type="pct"/>
            <w:shd w:val="clear" w:color="auto" w:fill="auto"/>
          </w:tcPr>
          <w:p w:rsidR="001A14F6" w:rsidRPr="001A14F6" w:rsidRDefault="001A14F6" w:rsidP="001A14F6">
            <w:pPr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>Доля предостережений о недопустимости нарушений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1200" w:type="pct"/>
            <w:shd w:val="clear" w:color="auto" w:fill="auto"/>
          </w:tcPr>
          <w:p w:rsidR="001A14F6" w:rsidRPr="001A14F6" w:rsidRDefault="001A14F6" w:rsidP="009A78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>не менее</w:t>
            </w:r>
            <w:r w:rsidR="007663D1">
              <w:rPr>
                <w:rFonts w:eastAsia="Calibri"/>
                <w:sz w:val="28"/>
                <w:szCs w:val="28"/>
              </w:rPr>
              <w:t xml:space="preserve"> </w:t>
            </w:r>
            <w:r w:rsidRPr="001A14F6"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1A14F6" w:rsidRPr="001A14F6" w:rsidTr="004D5EBB">
        <w:tc>
          <w:tcPr>
            <w:tcW w:w="257" w:type="pct"/>
            <w:shd w:val="clear" w:color="auto" w:fill="auto"/>
          </w:tcPr>
          <w:p w:rsidR="001A14F6" w:rsidRPr="001A14F6" w:rsidRDefault="009A783F" w:rsidP="001A14F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543" w:type="pct"/>
            <w:shd w:val="clear" w:color="auto" w:fill="auto"/>
          </w:tcPr>
          <w:p w:rsidR="001A14F6" w:rsidRPr="001A14F6" w:rsidRDefault="001A14F6" w:rsidP="001A14F6">
            <w:pPr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1200" w:type="pct"/>
            <w:shd w:val="clear" w:color="auto" w:fill="auto"/>
          </w:tcPr>
          <w:p w:rsidR="001A14F6" w:rsidRPr="001A14F6" w:rsidRDefault="001A14F6" w:rsidP="001A14F6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 xml:space="preserve">не менее 95 </w:t>
            </w:r>
          </w:p>
        </w:tc>
      </w:tr>
      <w:tr w:rsidR="001A14F6" w:rsidRPr="001A14F6" w:rsidTr="004D5EBB">
        <w:tc>
          <w:tcPr>
            <w:tcW w:w="257" w:type="pct"/>
            <w:shd w:val="clear" w:color="auto" w:fill="auto"/>
          </w:tcPr>
          <w:p w:rsidR="001A14F6" w:rsidRPr="001A14F6" w:rsidRDefault="009A783F" w:rsidP="00947661">
            <w:pPr>
              <w:keepNext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543" w:type="pct"/>
            <w:shd w:val="clear" w:color="auto" w:fill="auto"/>
          </w:tcPr>
          <w:p w:rsidR="001A14F6" w:rsidRPr="001A14F6" w:rsidRDefault="001A14F6" w:rsidP="001A14F6">
            <w:pPr>
              <w:keepNext/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>Доля удовлетворенных возражений контролируемых лиц на предостережения о недопустимости нарушений обязательных требований от общего числа поступивших возражений от контролируемых лиц</w:t>
            </w:r>
          </w:p>
        </w:tc>
        <w:tc>
          <w:tcPr>
            <w:tcW w:w="1200" w:type="pct"/>
            <w:shd w:val="clear" w:color="auto" w:fill="auto"/>
          </w:tcPr>
          <w:p w:rsidR="001A14F6" w:rsidRPr="001A14F6" w:rsidRDefault="001A14F6" w:rsidP="009A783F">
            <w:pPr>
              <w:keepNext/>
              <w:jc w:val="center"/>
              <w:rPr>
                <w:rFonts w:eastAsia="Calibri"/>
                <w:sz w:val="28"/>
                <w:szCs w:val="28"/>
              </w:rPr>
            </w:pPr>
            <w:r w:rsidRPr="001A14F6">
              <w:rPr>
                <w:rFonts w:eastAsia="Calibri"/>
                <w:sz w:val="28"/>
                <w:szCs w:val="28"/>
              </w:rPr>
              <w:t>не более</w:t>
            </w:r>
            <w:r w:rsidR="009A783F">
              <w:rPr>
                <w:rFonts w:eastAsia="Calibri"/>
                <w:sz w:val="28"/>
                <w:szCs w:val="28"/>
              </w:rPr>
              <w:t xml:space="preserve"> </w:t>
            </w:r>
            <w:r w:rsidRPr="001A14F6"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4D5EBB" w:rsidRDefault="004D5EBB" w:rsidP="004D5EBB">
      <w:pPr>
        <w:tabs>
          <w:tab w:val="left" w:pos="709"/>
          <w:tab w:val="left" w:pos="993"/>
        </w:tabs>
        <w:ind w:firstLine="709"/>
        <w:jc w:val="right"/>
        <w:rPr>
          <w:sz w:val="28"/>
          <w:szCs w:val="28"/>
        </w:rPr>
      </w:pPr>
      <w:r w:rsidRPr="004D5EBB">
        <w:rPr>
          <w:sz w:val="28"/>
          <w:szCs w:val="28"/>
        </w:rPr>
        <w:t>»;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3.</w:t>
      </w:r>
      <w:r w:rsidR="004D5EBB">
        <w:rPr>
          <w:sz w:val="28"/>
          <w:szCs w:val="28"/>
        </w:rPr>
        <w:t>2</w:t>
      </w:r>
      <w:r w:rsidRPr="001A14F6">
        <w:rPr>
          <w:sz w:val="28"/>
          <w:szCs w:val="28"/>
        </w:rPr>
        <w:t xml:space="preserve">.2 дополнить </w:t>
      </w:r>
      <w:r w:rsidR="002770E5">
        <w:rPr>
          <w:sz w:val="28"/>
          <w:szCs w:val="28"/>
        </w:rPr>
        <w:t>под</w:t>
      </w:r>
      <w:r w:rsidRPr="001A14F6">
        <w:rPr>
          <w:sz w:val="28"/>
          <w:szCs w:val="28"/>
        </w:rPr>
        <w:t>пунктом 2.3</w:t>
      </w:r>
      <w:r w:rsidRPr="001A14F6">
        <w:rPr>
          <w:sz w:val="28"/>
          <w:szCs w:val="28"/>
          <w:vertAlign w:val="superscript"/>
        </w:rPr>
        <w:t>1</w:t>
      </w:r>
      <w:r w:rsidRPr="001A14F6">
        <w:rPr>
          <w:sz w:val="28"/>
          <w:szCs w:val="28"/>
        </w:rPr>
        <w:t xml:space="preserve"> следующего содержания: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«2.3</w:t>
      </w:r>
      <w:r w:rsidRPr="001A14F6">
        <w:rPr>
          <w:sz w:val="28"/>
          <w:szCs w:val="28"/>
          <w:vertAlign w:val="superscript"/>
        </w:rPr>
        <w:t>1</w:t>
      </w:r>
      <w:r w:rsidRPr="001A14F6">
        <w:rPr>
          <w:sz w:val="28"/>
          <w:szCs w:val="28"/>
        </w:rPr>
        <w:t xml:space="preserve"> количество контрольных мероприятий, по результатам которых выявлены нарушения обязательных требований, за отчетный период;»;</w:t>
      </w:r>
    </w:p>
    <w:p w:rsidR="001A14F6" w:rsidRPr="001A14F6" w:rsidRDefault="002770E5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1A14F6" w:rsidRPr="001A14F6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под</w:t>
      </w:r>
      <w:r w:rsidR="007663D1">
        <w:rPr>
          <w:sz w:val="28"/>
          <w:szCs w:val="28"/>
        </w:rPr>
        <w:t>пунктами</w:t>
      </w:r>
      <w:r w:rsidR="001A14F6" w:rsidRPr="001A14F6">
        <w:rPr>
          <w:sz w:val="28"/>
          <w:szCs w:val="28"/>
        </w:rPr>
        <w:t xml:space="preserve"> 2.4</w:t>
      </w:r>
      <w:r w:rsidR="001A14F6" w:rsidRPr="001A14F6">
        <w:rPr>
          <w:sz w:val="28"/>
          <w:szCs w:val="28"/>
          <w:vertAlign w:val="superscript"/>
        </w:rPr>
        <w:t>1</w:t>
      </w:r>
      <w:r w:rsidR="009529BC">
        <w:rPr>
          <w:sz w:val="28"/>
          <w:szCs w:val="28"/>
        </w:rPr>
        <w:t xml:space="preserve">, </w:t>
      </w:r>
      <w:r w:rsidR="007663D1" w:rsidRPr="001A14F6">
        <w:rPr>
          <w:sz w:val="28"/>
          <w:szCs w:val="28"/>
        </w:rPr>
        <w:t>2.4</w:t>
      </w:r>
      <w:r w:rsidR="007663D1">
        <w:rPr>
          <w:sz w:val="28"/>
          <w:szCs w:val="28"/>
          <w:vertAlign w:val="superscript"/>
        </w:rPr>
        <w:t>2</w:t>
      </w:r>
      <w:r w:rsidR="001A14F6" w:rsidRPr="001A14F6">
        <w:rPr>
          <w:sz w:val="28"/>
          <w:szCs w:val="28"/>
        </w:rPr>
        <w:t>следующего содержания: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«2.4</w:t>
      </w:r>
      <w:r w:rsidRPr="001A14F6">
        <w:rPr>
          <w:sz w:val="28"/>
          <w:szCs w:val="28"/>
          <w:vertAlign w:val="superscript"/>
        </w:rPr>
        <w:t>1</w:t>
      </w:r>
      <w:r w:rsidRPr="001A14F6">
        <w:rPr>
          <w:sz w:val="28"/>
          <w:szCs w:val="28"/>
        </w:rPr>
        <w:t xml:space="preserve"> количество поступивших возражений на объявленные предостережения о недопустимости нарушения обязательных требований</w:t>
      </w:r>
      <w:r w:rsidR="004D5EBB">
        <w:rPr>
          <w:sz w:val="28"/>
          <w:szCs w:val="28"/>
        </w:rPr>
        <w:t xml:space="preserve"> </w:t>
      </w:r>
      <w:r w:rsidRPr="001A14F6">
        <w:rPr>
          <w:sz w:val="28"/>
          <w:szCs w:val="28"/>
        </w:rPr>
        <w:t>за отчетный пери</w:t>
      </w:r>
      <w:r w:rsidR="007663D1">
        <w:rPr>
          <w:sz w:val="28"/>
          <w:szCs w:val="28"/>
        </w:rPr>
        <w:t>од;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2.4</w:t>
      </w:r>
      <w:r w:rsidRPr="001A14F6">
        <w:rPr>
          <w:sz w:val="28"/>
          <w:szCs w:val="28"/>
          <w:vertAlign w:val="superscript"/>
        </w:rPr>
        <w:t>2</w:t>
      </w:r>
      <w:r w:rsidRPr="001A14F6">
        <w:rPr>
          <w:sz w:val="28"/>
          <w:szCs w:val="28"/>
        </w:rPr>
        <w:t xml:space="preserve"> количество отменённых предостережений по результатам рассмотрения поступивших возражений за отчетный период;»;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3.</w:t>
      </w:r>
      <w:r w:rsidR="002770E5">
        <w:rPr>
          <w:sz w:val="28"/>
          <w:szCs w:val="28"/>
        </w:rPr>
        <w:t>2</w:t>
      </w:r>
      <w:r w:rsidR="00341FB5">
        <w:rPr>
          <w:sz w:val="28"/>
          <w:szCs w:val="28"/>
        </w:rPr>
        <w:t>.</w:t>
      </w:r>
      <w:r w:rsidR="006275D1">
        <w:rPr>
          <w:sz w:val="28"/>
          <w:szCs w:val="28"/>
        </w:rPr>
        <w:t>4</w:t>
      </w:r>
      <w:r w:rsidRPr="001A14F6">
        <w:rPr>
          <w:sz w:val="28"/>
          <w:szCs w:val="28"/>
        </w:rPr>
        <w:t xml:space="preserve"> дополнить </w:t>
      </w:r>
      <w:r w:rsidR="002770E5">
        <w:rPr>
          <w:sz w:val="28"/>
          <w:szCs w:val="28"/>
        </w:rPr>
        <w:t>под</w:t>
      </w:r>
      <w:r w:rsidRPr="001A14F6">
        <w:rPr>
          <w:sz w:val="28"/>
          <w:szCs w:val="28"/>
        </w:rPr>
        <w:t>пунктом 2.8</w:t>
      </w:r>
      <w:r w:rsidRPr="001A14F6">
        <w:rPr>
          <w:sz w:val="28"/>
          <w:szCs w:val="28"/>
          <w:vertAlign w:val="superscript"/>
        </w:rPr>
        <w:t>1</w:t>
      </w:r>
      <w:r w:rsidRPr="001A14F6">
        <w:rPr>
          <w:sz w:val="28"/>
          <w:szCs w:val="28"/>
        </w:rPr>
        <w:t xml:space="preserve"> следующего содержания:</w:t>
      </w:r>
    </w:p>
    <w:p w:rsidR="001A14F6" w:rsidRPr="001A14F6" w:rsidRDefault="001A14F6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A14F6">
        <w:rPr>
          <w:sz w:val="28"/>
          <w:szCs w:val="28"/>
        </w:rPr>
        <w:t>«2.8</w:t>
      </w:r>
      <w:r w:rsidRPr="001A14F6">
        <w:rPr>
          <w:sz w:val="28"/>
          <w:szCs w:val="28"/>
          <w:vertAlign w:val="superscript"/>
        </w:rPr>
        <w:t>1</w:t>
      </w:r>
      <w:r w:rsidRPr="001A14F6">
        <w:rPr>
          <w:sz w:val="28"/>
          <w:szCs w:val="28"/>
        </w:rPr>
        <w:t xml:space="preserve"> общее количество объектов контроля на конец отчетного периода;».</w:t>
      </w:r>
    </w:p>
    <w:p w:rsidR="004D5EBB" w:rsidRDefault="004D5EBB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D5EBB">
        <w:rPr>
          <w:sz w:val="28"/>
          <w:szCs w:val="28"/>
        </w:rPr>
        <w:t>Рекомендовать администрации города Перми до 01.12.2023 оценить необходимость применения иных способов фиксации доказательств нарушений обязательных требований при осуществлении муниципального контроля и при наличии такой необходимости обеспечить внесение изменений в соответствующие правовые акты в части установления случаев и порядка иных способов фиксации доказательств нарушений обязательных требований.</w:t>
      </w:r>
    </w:p>
    <w:p w:rsidR="001A14F6" w:rsidRPr="001A14F6" w:rsidRDefault="002770E5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14F6" w:rsidRPr="001A14F6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</w:t>
      </w:r>
      <w:r>
        <w:rPr>
          <w:sz w:val="28"/>
          <w:szCs w:val="28"/>
        </w:rPr>
        <w:t> </w:t>
      </w:r>
      <w:r w:rsidR="001A14F6" w:rsidRPr="001A14F6">
        <w:rPr>
          <w:sz w:val="28"/>
          <w:szCs w:val="28"/>
        </w:rPr>
        <w:t xml:space="preserve">исключением абзаца </w:t>
      </w:r>
      <w:r>
        <w:rPr>
          <w:sz w:val="28"/>
          <w:szCs w:val="28"/>
        </w:rPr>
        <w:t>пятнадцатого</w:t>
      </w:r>
      <w:r w:rsidR="001A14F6" w:rsidRPr="001A14F6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1A14F6" w:rsidRPr="001A14F6">
        <w:rPr>
          <w:sz w:val="28"/>
          <w:szCs w:val="28"/>
        </w:rPr>
        <w:t>пункта 1.1.1 настоящего решения, вступающего в силу с 01.09.2023.</w:t>
      </w:r>
    </w:p>
    <w:p w:rsidR="001A14F6" w:rsidRPr="001A14F6" w:rsidRDefault="002770E5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14F6" w:rsidRPr="001A14F6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275D1" w:rsidRDefault="006275D1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1A14F6" w:rsidRPr="001A14F6" w:rsidRDefault="002770E5" w:rsidP="001A14F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A14F6" w:rsidRPr="001A14F6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4D5EBB" w:rsidRPr="004D5EBB">
        <w:rPr>
          <w:sz w:val="28"/>
          <w:szCs w:val="28"/>
        </w:rPr>
        <w:t>по городскому хозяйству</w:t>
      </w:r>
      <w:r w:rsidR="004D5EBB">
        <w:rPr>
          <w:sz w:val="28"/>
          <w:szCs w:val="28"/>
        </w:rPr>
        <w:t xml:space="preserve"> и</w:t>
      </w:r>
      <w:r w:rsidR="004D5EBB" w:rsidRPr="004D5EBB">
        <w:rPr>
          <w:sz w:val="28"/>
          <w:szCs w:val="28"/>
        </w:rPr>
        <w:t xml:space="preserve"> комитет Пермской городской Думы по пространственному развитию и благоустройству</w:t>
      </w:r>
      <w:r w:rsidR="001A14F6" w:rsidRPr="001A14F6">
        <w:rPr>
          <w:sz w:val="28"/>
          <w:szCs w:val="28"/>
        </w:rPr>
        <w:t>.</w:t>
      </w:r>
    </w:p>
    <w:p w:rsidR="001A14F6" w:rsidRPr="001A14F6" w:rsidRDefault="001A14F6" w:rsidP="001A14F6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1A14F6">
        <w:rPr>
          <w:sz w:val="28"/>
          <w:szCs w:val="28"/>
        </w:rPr>
        <w:t xml:space="preserve">Председатель </w:t>
      </w:r>
    </w:p>
    <w:p w:rsidR="001A14F6" w:rsidRPr="001A14F6" w:rsidRDefault="001A14F6" w:rsidP="002770E5">
      <w:pPr>
        <w:tabs>
          <w:tab w:val="left" w:pos="709"/>
          <w:tab w:val="left" w:pos="993"/>
        </w:tabs>
        <w:spacing w:after="720"/>
        <w:jc w:val="both"/>
        <w:rPr>
          <w:sz w:val="28"/>
          <w:szCs w:val="28"/>
        </w:rPr>
      </w:pPr>
      <w:r w:rsidRPr="001A14F6">
        <w:rPr>
          <w:sz w:val="28"/>
          <w:szCs w:val="28"/>
        </w:rPr>
        <w:t xml:space="preserve">Пермской городской Думы </w:t>
      </w:r>
      <w:r w:rsidRPr="001A14F6">
        <w:rPr>
          <w:sz w:val="28"/>
          <w:szCs w:val="28"/>
        </w:rPr>
        <w:tab/>
      </w:r>
      <w:r w:rsidRPr="001A14F6">
        <w:rPr>
          <w:sz w:val="28"/>
          <w:szCs w:val="28"/>
        </w:rPr>
        <w:tab/>
      </w:r>
      <w:r w:rsidRPr="001A14F6">
        <w:rPr>
          <w:sz w:val="28"/>
          <w:szCs w:val="28"/>
        </w:rPr>
        <w:tab/>
      </w:r>
      <w:r w:rsidRPr="001A14F6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</w:t>
      </w:r>
      <w:r w:rsidRPr="001A14F6">
        <w:rPr>
          <w:sz w:val="28"/>
          <w:szCs w:val="28"/>
        </w:rPr>
        <w:t xml:space="preserve">Д.В. Малютин </w:t>
      </w:r>
    </w:p>
    <w:p w:rsidR="002770E5" w:rsidRPr="002770E5" w:rsidRDefault="002770E5" w:rsidP="002770E5">
      <w:pPr>
        <w:jc w:val="both"/>
        <w:rPr>
          <w:sz w:val="28"/>
          <w:szCs w:val="28"/>
        </w:rPr>
      </w:pPr>
      <w:r w:rsidRPr="002770E5">
        <w:rPr>
          <w:sz w:val="28"/>
          <w:szCs w:val="28"/>
        </w:rPr>
        <w:t>Временно исполняющий полномочия</w:t>
      </w:r>
    </w:p>
    <w:p w:rsidR="00BB5CEF" w:rsidRDefault="002770E5" w:rsidP="002770E5">
      <w:pPr>
        <w:jc w:val="both"/>
        <w:rPr>
          <w:b/>
          <w:bCs/>
          <w:sz w:val="28"/>
          <w:szCs w:val="28"/>
        </w:rPr>
      </w:pPr>
      <w:r w:rsidRPr="002770E5">
        <w:rPr>
          <w:sz w:val="28"/>
          <w:szCs w:val="28"/>
        </w:rPr>
        <w:t>Главы города Перми</w:t>
      </w:r>
      <w:r w:rsidRPr="002770E5">
        <w:rPr>
          <w:sz w:val="28"/>
          <w:szCs w:val="28"/>
        </w:rPr>
        <w:tab/>
      </w:r>
      <w:r w:rsidRPr="002770E5">
        <w:rPr>
          <w:sz w:val="28"/>
          <w:szCs w:val="28"/>
        </w:rPr>
        <w:tab/>
      </w:r>
      <w:r w:rsidRPr="002770E5">
        <w:rPr>
          <w:sz w:val="28"/>
          <w:szCs w:val="28"/>
        </w:rPr>
        <w:tab/>
      </w:r>
      <w:r w:rsidRPr="002770E5">
        <w:rPr>
          <w:sz w:val="28"/>
          <w:szCs w:val="28"/>
        </w:rPr>
        <w:tab/>
      </w:r>
      <w:r w:rsidRPr="002770E5">
        <w:rPr>
          <w:sz w:val="28"/>
          <w:szCs w:val="28"/>
        </w:rPr>
        <w:tab/>
      </w:r>
      <w:r w:rsidRPr="002770E5">
        <w:rPr>
          <w:sz w:val="28"/>
          <w:szCs w:val="28"/>
        </w:rPr>
        <w:tab/>
      </w:r>
      <w:r w:rsidRPr="002770E5">
        <w:rPr>
          <w:sz w:val="28"/>
          <w:szCs w:val="28"/>
        </w:rPr>
        <w:tab/>
        <w:t xml:space="preserve">         О.Н. Андрианова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sectPr w:rsidR="0066009D" w:rsidRPr="009E1DC9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5B6E">
      <w:rPr>
        <w:noProof/>
        <w:snapToGrid w:val="0"/>
        <w:sz w:val="16"/>
      </w:rPr>
      <w:t>24.08.2023 14:21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5B6E">
      <w:rPr>
        <w:noProof/>
        <w:snapToGrid w:val="0"/>
        <w:sz w:val="16"/>
      </w:rPr>
      <w:t>решение 163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961340"/>
      <w:docPartObj>
        <w:docPartGallery w:val="Page Numbers (Top of Page)"/>
        <w:docPartUnique/>
      </w:docPartObj>
    </w:sdtPr>
    <w:sdtEndPr/>
    <w:sdtContent>
      <w:p w:rsidR="001A14F6" w:rsidRDefault="001A14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B6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pkTe5/kjjh+XrrDljUtb3DYhRU33fz0KpJ5HRuvxfJMehaaO8MzggiSJGqFe9aGBqx/me6Z4hxZHxW2d2SYJA==" w:salt="kHgDI7pXlRosEo+4ItSj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3888"/>
    <w:rsid w:val="001A14F6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0E5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1FB5"/>
    <w:rsid w:val="00342947"/>
    <w:rsid w:val="00343A1F"/>
    <w:rsid w:val="00351D85"/>
    <w:rsid w:val="00356EF9"/>
    <w:rsid w:val="003607E1"/>
    <w:rsid w:val="00362E50"/>
    <w:rsid w:val="00366EBE"/>
    <w:rsid w:val="00370085"/>
    <w:rsid w:val="003768FC"/>
    <w:rsid w:val="003971D1"/>
    <w:rsid w:val="003A7159"/>
    <w:rsid w:val="003B3F8E"/>
    <w:rsid w:val="003C3452"/>
    <w:rsid w:val="003C7818"/>
    <w:rsid w:val="003D7596"/>
    <w:rsid w:val="003E4643"/>
    <w:rsid w:val="003E574B"/>
    <w:rsid w:val="003F5376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5EBB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6CD3"/>
    <w:rsid w:val="006078DD"/>
    <w:rsid w:val="006117EA"/>
    <w:rsid w:val="00612A85"/>
    <w:rsid w:val="006275D1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5B6E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3D1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1959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0E87"/>
    <w:rsid w:val="009379BE"/>
    <w:rsid w:val="00947661"/>
    <w:rsid w:val="00947888"/>
    <w:rsid w:val="009529BC"/>
    <w:rsid w:val="00957612"/>
    <w:rsid w:val="00990301"/>
    <w:rsid w:val="00996FBA"/>
    <w:rsid w:val="009A7509"/>
    <w:rsid w:val="009A783F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A3A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8C50A33-99EA-4480-9CDC-79003D91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basedOn w:val="a0"/>
    <w:link w:val="11"/>
    <w:rsid w:val="00920E87"/>
    <w:rPr>
      <w:shd w:val="clear" w:color="auto" w:fill="FFFFFF"/>
    </w:rPr>
  </w:style>
  <w:style w:type="paragraph" w:customStyle="1" w:styleId="11">
    <w:name w:val="Основной текст1"/>
    <w:basedOn w:val="a"/>
    <w:link w:val="af3"/>
    <w:rsid w:val="00920E87"/>
    <w:pPr>
      <w:widowControl w:val="0"/>
      <w:shd w:val="clear" w:color="auto" w:fill="FFFFFF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B10B288E5594B142AE8F4C5CA8A8AC4BB4D370692F0D0FFECD4D93E3D03EC980BFB16D9443021D49AB486298B249C41F396BDF16555447295CF55g205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0B10B288E5594B142AE8F4C5CA8A8AC4BB4D370692F0D0FFECD4D93E3D03EC980BFB16D9443021D49AB486298B249C41F396BDF16555447295CF55g20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ECB04E592402E551C8001957863AA28AA80821725C02570AD21A92BEFC5B0005E26FCBC4458E633C590FFEFCnDk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2280</Words>
  <Characters>13001</Characters>
  <Application>Microsoft Office Word</Application>
  <DocSecurity>8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2023-08-24T09:21:00Z</cp:lastPrinted>
  <dcterms:created xsi:type="dcterms:W3CDTF">2023-08-11T11:08:00Z</dcterms:created>
  <dcterms:modified xsi:type="dcterms:W3CDTF">2023-08-24T09:23:00Z</dcterms:modified>
</cp:coreProperties>
</file>