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3A" w:rsidRDefault="001D738B">
      <w:pPr>
        <w:pStyle w:val="af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pt;mso-position-horizontal:absolute;mso-position-vertical-relative:text;margin-top:-43.1pt;mso-position-vertical:absolute;width:32.0pt;height:39.0pt;mso-wrap-distance-left:9.0pt;mso-wrap-distance-top:0.0pt;mso-wrap-distance-right:9.0pt;mso-wrap-distance-bottom:0.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DA333A" w:rsidRDefault="001D738B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A333A" w:rsidRDefault="001D738B">
                              <w:pPr>
                                <w:pStyle w:val="af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A333A" w:rsidRDefault="001D73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A333A" w:rsidRDefault="00DA333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A333A" w:rsidRDefault="00713AF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A333A" w:rsidRDefault="00713AF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jELGVg8DAADbCQAADgAAAAAAAAAAAAAAAAAuAgAAZHJz&#10;L2Uyb0RvYy54bWxQSwECLQAUAAYACAAAACEAQ23In98AAAAJAQAADwAAAAAAAAAAAAAAAABp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A333A" w:rsidRDefault="001D738B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333A" w:rsidRDefault="001D738B">
                        <w:pPr>
                          <w:pStyle w:val="af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A333A" w:rsidRDefault="001D738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A333A" w:rsidRDefault="00DA333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A333A" w:rsidRDefault="00713AF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A333A" w:rsidRDefault="00713AF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A333A" w:rsidRDefault="00DA333A">
      <w:pPr>
        <w:pStyle w:val="af4"/>
        <w:ind w:right="0"/>
        <w:jc w:val="both"/>
        <w:rPr>
          <w:rFonts w:ascii="Times New Roman" w:hAnsi="Times New Roman"/>
          <w:sz w:val="24"/>
        </w:rPr>
      </w:pPr>
    </w:p>
    <w:p w:rsidR="00DA333A" w:rsidRDefault="00DA333A">
      <w:pPr>
        <w:pStyle w:val="af4"/>
        <w:ind w:right="0"/>
        <w:jc w:val="both"/>
        <w:rPr>
          <w:rFonts w:ascii="Times New Roman" w:hAnsi="Times New Roman"/>
          <w:sz w:val="24"/>
        </w:rPr>
      </w:pPr>
    </w:p>
    <w:p w:rsidR="00DA333A" w:rsidRDefault="00DA333A">
      <w:pPr>
        <w:jc w:val="both"/>
        <w:rPr>
          <w:sz w:val="24"/>
          <w:szCs w:val="24"/>
          <w:lang w:val="en-US"/>
        </w:rPr>
      </w:pPr>
    </w:p>
    <w:p w:rsidR="00DA333A" w:rsidRDefault="00DA333A">
      <w:pPr>
        <w:jc w:val="both"/>
        <w:rPr>
          <w:sz w:val="24"/>
          <w:szCs w:val="24"/>
        </w:rPr>
      </w:pPr>
    </w:p>
    <w:p w:rsidR="00DA333A" w:rsidRDefault="00DA333A">
      <w:pPr>
        <w:spacing w:line="240" w:lineRule="exact"/>
        <w:rPr>
          <w:sz w:val="24"/>
          <w:szCs w:val="24"/>
        </w:rPr>
      </w:pPr>
    </w:p>
    <w:p w:rsidR="00DA333A" w:rsidRDefault="00DA333A">
      <w:pPr>
        <w:spacing w:line="240" w:lineRule="exact"/>
        <w:rPr>
          <w:sz w:val="24"/>
          <w:szCs w:val="24"/>
        </w:rPr>
      </w:pPr>
    </w:p>
    <w:p w:rsidR="00DA333A" w:rsidRDefault="00DA333A">
      <w:pPr>
        <w:spacing w:line="240" w:lineRule="exact"/>
        <w:rPr>
          <w:sz w:val="28"/>
          <w:szCs w:val="24"/>
        </w:rPr>
      </w:pPr>
    </w:p>
    <w:p w:rsidR="00DA333A" w:rsidRDefault="00DA333A">
      <w:pPr>
        <w:spacing w:line="240" w:lineRule="exact"/>
        <w:jc w:val="both"/>
        <w:rPr>
          <w:sz w:val="32"/>
          <w:szCs w:val="28"/>
        </w:rPr>
      </w:pPr>
    </w:p>
    <w:p w:rsidR="00DA333A" w:rsidRDefault="001D738B">
      <w:pPr>
        <w:pStyle w:val="aff"/>
        <w:spacing w:line="240" w:lineRule="exact"/>
        <w:rPr>
          <w:b/>
        </w:rPr>
      </w:pPr>
      <w:r>
        <w:rPr>
          <w:b/>
        </w:rPr>
        <w:t>О внесении изменений</w:t>
      </w:r>
      <w:r>
        <w:rPr>
          <w:b/>
        </w:rPr>
        <w:br/>
        <w:t xml:space="preserve">в Порядок определения объема </w:t>
      </w:r>
      <w:r>
        <w:rPr>
          <w:b/>
        </w:rPr>
        <w:br/>
        <w:t xml:space="preserve">и условий предоставления </w:t>
      </w:r>
      <w:r>
        <w:rPr>
          <w:b/>
        </w:rPr>
        <w:br/>
        <w:t xml:space="preserve">субсидий на иные цели </w:t>
      </w:r>
      <w:r>
        <w:rPr>
          <w:b/>
        </w:rPr>
        <w:br/>
        <w:t xml:space="preserve">бюджетным и автономным </w:t>
      </w:r>
      <w:r>
        <w:rPr>
          <w:b/>
        </w:rPr>
        <w:br/>
        <w:t xml:space="preserve">учреждениям на проведение </w:t>
      </w:r>
      <w:r>
        <w:rPr>
          <w:b/>
        </w:rPr>
        <w:br/>
        <w:t xml:space="preserve">мероприятий по сохранению </w:t>
      </w:r>
      <w:r>
        <w:rPr>
          <w:b/>
        </w:rPr>
        <w:br/>
        <w:t xml:space="preserve">и использованию музея </w:t>
      </w:r>
      <w:r>
        <w:rPr>
          <w:b/>
        </w:rPr>
        <w:br/>
        <w:t xml:space="preserve">«Дом Дягилева», утвержденный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/>
        <w:t>города Перми от 14.10.2020 № 972</w:t>
      </w:r>
    </w:p>
    <w:p w:rsidR="00DA333A" w:rsidRDefault="00DA333A">
      <w:pPr>
        <w:pStyle w:val="aff"/>
        <w:spacing w:line="240" w:lineRule="exact"/>
        <w:rPr>
          <w:b/>
        </w:rPr>
      </w:pPr>
    </w:p>
    <w:p w:rsidR="00DA333A" w:rsidRDefault="00DA333A">
      <w:pPr>
        <w:spacing w:line="240" w:lineRule="exact"/>
        <w:jc w:val="both"/>
        <w:rPr>
          <w:sz w:val="28"/>
        </w:rPr>
      </w:pPr>
    </w:p>
    <w:p w:rsidR="00DA333A" w:rsidRDefault="00DA333A">
      <w:pPr>
        <w:jc w:val="both"/>
        <w:rPr>
          <w:sz w:val="28"/>
          <w:szCs w:val="28"/>
        </w:rPr>
      </w:pPr>
    </w:p>
    <w:p w:rsidR="00DA333A" w:rsidRDefault="001D738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абзацем вторым пункта 1 статьи 78.1 Бюджетного кодекса Российской Федерации, </w:t>
      </w:r>
      <w:hyperlink r:id="rId20" w:tooltip="consultantplus://offline/ref=16B171137A232FF8DD3A1940F9F5F2A769EBCB30413C18EEB3F0D7A4A530C95C62EE583BAE951696DAE435D1A5C9GCF" w:history="1">
        <w:r>
          <w:rPr>
            <w:sz w:val="28"/>
          </w:rPr>
          <w:t>постановлением</w:t>
        </w:r>
      </w:hyperlink>
      <w:r w:rsidR="00FF131A">
        <w:rPr>
          <w:sz w:val="28"/>
        </w:rPr>
        <w:t xml:space="preserve"> П</w:t>
      </w:r>
      <w:r>
        <w:rPr>
          <w:sz w:val="28"/>
        </w:rPr>
        <w:t xml:space="preserve">равительства Российской Федерации </w:t>
      </w:r>
      <w:r>
        <w:rPr>
          <w:sz w:val="28"/>
        </w:rPr>
        <w:br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 целях актуализации нормативной</w:t>
      </w:r>
      <w:r>
        <w:rPr>
          <w:sz w:val="28"/>
          <w:szCs w:val="28"/>
        </w:rPr>
        <w:t xml:space="preserve"> правовой базы администрации города Перми</w:t>
      </w:r>
    </w:p>
    <w:p w:rsidR="00DA333A" w:rsidRDefault="001D738B">
      <w:pPr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>1. Внести в Порядок определения объема и условий предоставления субсидий на иные цели бюджетным и автономным учреждениям на проведение мероприятий по сохранению и использованию музея «Дом Дягилева», утвержденный постановлением администрации города Перми от 14 октября 2020 г. № 972 (в ред. от 10.03.2021 № 144, от 28.04.2021 № 314,</w:t>
      </w:r>
      <w:r>
        <w:t xml:space="preserve"> </w:t>
      </w:r>
      <w:r>
        <w:rPr>
          <w:sz w:val="28"/>
        </w:rPr>
        <w:t xml:space="preserve">от 31.08.2021 № 648, </w:t>
      </w:r>
      <w:r w:rsidR="00FF131A">
        <w:rPr>
          <w:sz w:val="28"/>
        </w:rPr>
        <w:br/>
      </w:r>
      <w:r>
        <w:rPr>
          <w:sz w:val="28"/>
        </w:rPr>
        <w:t>от 05.05.2022 № 337,</w:t>
      </w:r>
      <w:r>
        <w:t xml:space="preserve"> </w:t>
      </w:r>
      <w:r>
        <w:rPr>
          <w:sz w:val="28"/>
        </w:rPr>
        <w:t>от 29.08.2022 № 719), следующие изменения:</w:t>
      </w:r>
    </w:p>
    <w:p w:rsidR="00DA333A" w:rsidRDefault="001D738B">
      <w:pPr>
        <w:ind w:firstLine="720"/>
        <w:jc w:val="both"/>
        <w:rPr>
          <w:sz w:val="28"/>
        </w:rPr>
      </w:pPr>
      <w:r>
        <w:rPr>
          <w:sz w:val="28"/>
        </w:rPr>
        <w:t>1.1. разделы 2-4 изложить в следующей редакции:</w:t>
      </w:r>
    </w:p>
    <w:p w:rsidR="00DA333A" w:rsidRDefault="00DA333A">
      <w:pPr>
        <w:ind w:firstLine="709"/>
        <w:jc w:val="both"/>
        <w:rPr>
          <w:sz w:val="28"/>
        </w:rPr>
      </w:pPr>
    </w:p>
    <w:p w:rsidR="00DA333A" w:rsidRDefault="001D738B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DA333A" w:rsidRDefault="00DA33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Для получения субсидий на иные цели на очередной финансовый год </w:t>
      </w:r>
      <w:r>
        <w:rPr>
          <w:rFonts w:ascii="Times New Roman" w:hAnsi="Times New Roman" w:cs="Times New Roman"/>
          <w:sz w:val="28"/>
        </w:rPr>
        <w:br/>
        <w:t xml:space="preserve">и плановый период Учреждения до 15 мая текущего года представляют </w:t>
      </w:r>
      <w:r>
        <w:rPr>
          <w:rFonts w:ascii="Times New Roman" w:hAnsi="Times New Roman" w:cs="Times New Roman"/>
          <w:sz w:val="28"/>
        </w:rPr>
        <w:br/>
        <w:t>на бумажном носителе в Департамент: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пояснительную записку, содержащую обоснование необходимости предоставления субсидий на иные цели;</w:t>
      </w:r>
    </w:p>
    <w:p w:rsidR="00DA333A" w:rsidRDefault="004536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 w:tooltip="#P151" w:history="1">
        <w:r w:rsidR="001D738B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1D738B">
        <w:rPr>
          <w:rFonts w:ascii="Times New Roman" w:hAnsi="Times New Roman" w:cs="Times New Roman"/>
          <w:sz w:val="28"/>
        </w:rPr>
        <w:t xml:space="preserve"> суммы субсидий на иные цели согласно приложению 1 </w:t>
      </w:r>
      <w:r w:rsidR="001D738B">
        <w:rPr>
          <w:rFonts w:ascii="Times New Roman" w:hAnsi="Times New Roman" w:cs="Times New Roman"/>
          <w:sz w:val="28"/>
        </w:rPr>
        <w:br/>
        <w:t>к настоящему Порядку;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предварительную смету расходов на проведение мероприятий;</w:t>
      </w:r>
    </w:p>
    <w:p w:rsidR="00DA333A" w:rsidRDefault="001D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программу мероприятий, содержащую информацию об организаторе мероприятия, периоде и месте проведения мероприятия;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документы, подтверждающие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отсутствие у Учреждения задолженности </w:t>
      </w:r>
      <w:r>
        <w:rPr>
          <w:rFonts w:ascii="Times New Roman" w:hAnsi="Times New Roman" w:cs="Times New Roman"/>
          <w:sz w:val="28"/>
        </w:rPr>
        <w:br/>
        <w:t>по уплате налогов, сборов и иных обязательных платежей в бюджеты бюджетной системы Российской Федерации.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На дату подачи документов, указанных в пункте 2.1 настоящего Порядка, Учреждение должно соответствовать следующим требованиям: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</w:r>
      <w:r>
        <w:rPr>
          <w:rFonts w:ascii="Times New Roman" w:hAnsi="Times New Roman" w:cs="Times New Roman"/>
          <w:sz w:val="28"/>
        </w:rPr>
        <w:br/>
        <w:t>в соответствии с иными правовыми актами, и иной просроченной задолженности перед бюджетом города Перми.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Рассмотрение и проверка документов на полноту их представления </w:t>
      </w:r>
      <w:r>
        <w:rPr>
          <w:rFonts w:ascii="Times New Roman" w:hAnsi="Times New Roman" w:cs="Times New Roman"/>
          <w:sz w:val="28"/>
        </w:rPr>
        <w:br/>
        <w:t xml:space="preserve">в соответствии с </w:t>
      </w:r>
      <w:hyperlink w:anchor="P62" w:tooltip="#P62" w:history="1">
        <w:r>
          <w:rPr>
            <w:rFonts w:ascii="Times New Roman" w:hAnsi="Times New Roman" w:cs="Times New Roman"/>
            <w:sz w:val="28"/>
          </w:rPr>
          <w:t>пунктом 2.1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 осуществляется Департаментом в течение 10 рабочих дней с даты их представления.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электронного документооборота уведомляет Учреждение о принятом решении </w:t>
      </w:r>
      <w:r>
        <w:rPr>
          <w:rFonts w:ascii="Times New Roman" w:hAnsi="Times New Roman" w:cs="Times New Roman"/>
          <w:sz w:val="28"/>
        </w:rPr>
        <w:br/>
        <w:t xml:space="preserve">о предоставлении или об отказе в предоставлении субсидий на иные цели </w:t>
      </w:r>
      <w:r>
        <w:rPr>
          <w:rFonts w:ascii="Times New Roman" w:hAnsi="Times New Roman" w:cs="Times New Roman"/>
          <w:sz w:val="28"/>
        </w:rPr>
        <w:br/>
        <w:t xml:space="preserve">в течение 15 рабочих дней со дня доведения лимитов бюджетных обязательств </w:t>
      </w:r>
      <w:r>
        <w:rPr>
          <w:rFonts w:ascii="Times New Roman" w:hAnsi="Times New Roman" w:cs="Times New Roman"/>
          <w:sz w:val="28"/>
        </w:rPr>
        <w:br/>
        <w:t>на очередной финансовый год и плановый период.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Основания для отказа Учреждению в предоставлении субсидий на иные цели: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несоответствие представленных Учреждением документов требованиям, определенным в соответствии с </w:t>
      </w:r>
      <w:hyperlink w:anchor="P62" w:tooltip="#P62" w:history="1">
        <w:r>
          <w:rPr>
            <w:rFonts w:ascii="Times New Roman" w:hAnsi="Times New Roman" w:cs="Times New Roman"/>
            <w:sz w:val="28"/>
          </w:rPr>
          <w:t>пунктом 2.1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</w:rPr>
        <w:br/>
        <w:t>или непредставление (представление не в полном объеме) указанных документов;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недостоверность информации, содержащейся в документах, представленных Учреждением в соответствии с </w:t>
      </w:r>
      <w:hyperlink w:anchor="P62" w:tooltip="#P62" w:history="1">
        <w:r>
          <w:rPr>
            <w:rFonts w:ascii="Times New Roman" w:hAnsi="Times New Roman" w:cs="Times New Roman"/>
            <w:sz w:val="28"/>
          </w:rPr>
          <w:t>пунктом 2.1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принятия Департаментом решения об отказе в предоставлении субсидий на иные цели Учреждение вправе повторно представить в Департамент документы в соответствии с пунктом 2.1 настоящего Порядка.</w:t>
      </w:r>
    </w:p>
    <w:p w:rsidR="00DA333A" w:rsidRDefault="001D738B">
      <w:pPr>
        <w:ind w:firstLine="709"/>
        <w:jc w:val="both"/>
        <w:rPr>
          <w:sz w:val="28"/>
          <w:szCs w:val="28"/>
        </w:rPr>
      </w:pPr>
      <w:bookmarkStart w:id="0" w:name="P74"/>
      <w:bookmarkEnd w:id="0"/>
      <w:r>
        <w:rPr>
          <w:sz w:val="28"/>
        </w:rPr>
        <w:t xml:space="preserve">2.5. Размер субсидий на иные цели определяется исходя из среднего количества часов соответствующего мероприятия и стоимости одного часа проведения мероприятия </w:t>
      </w:r>
      <w:r>
        <w:rPr>
          <w:sz w:val="28"/>
          <w:szCs w:val="28"/>
        </w:rPr>
        <w:t>на текущий год.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Размер субсидий на иные цели устанавливается на очередной финансовый год и плановый период.</w:t>
      </w:r>
    </w:p>
    <w:p w:rsidR="00DA333A" w:rsidRDefault="004536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99" w:tooltip="#P199" w:history="1">
        <w:r w:rsidR="001D738B">
          <w:rPr>
            <w:rFonts w:ascii="Times New Roman" w:hAnsi="Times New Roman" w:cs="Times New Roman"/>
            <w:sz w:val="28"/>
          </w:rPr>
          <w:t>Размер</w:t>
        </w:r>
      </w:hyperlink>
      <w:r w:rsidR="001D738B">
        <w:rPr>
          <w:rFonts w:ascii="Times New Roman" w:hAnsi="Times New Roman" w:cs="Times New Roman"/>
          <w:sz w:val="28"/>
        </w:rPr>
        <w:t xml:space="preserve"> субсидий на иные цели на 2024 год и плановый период 2025 </w:t>
      </w:r>
      <w:r w:rsidR="001D738B">
        <w:rPr>
          <w:rFonts w:ascii="Times New Roman" w:hAnsi="Times New Roman" w:cs="Times New Roman"/>
          <w:sz w:val="28"/>
        </w:rPr>
        <w:br/>
        <w:t>и 2026 годов установлен в приложении 2 к настоящему Порядку.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необходимости изменения утвержденных объемов субсидий на иные цели в течение текущего года Учреждение ежеквартально направляет </w:t>
      </w:r>
      <w:r>
        <w:rPr>
          <w:rFonts w:ascii="Times New Roman" w:hAnsi="Times New Roman" w:cs="Times New Roman"/>
          <w:sz w:val="28"/>
        </w:rPr>
        <w:br/>
        <w:t xml:space="preserve">в Департамент документы, указанные в абзацах втором-шестом пункта 2.1, </w:t>
      </w:r>
      <w:r>
        <w:rPr>
          <w:rFonts w:ascii="Times New Roman" w:hAnsi="Times New Roman" w:cs="Times New Roman"/>
          <w:sz w:val="28"/>
        </w:rPr>
        <w:br/>
        <w:t xml:space="preserve">в следующие сроки: 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I-III кварталы – до 30 числа месяца, следующего за кварталом;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IV квартал – до 01 декабря текущего года.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2.7. Субсидии на иные цели предоставляются в соответствии с соглашением </w:t>
      </w:r>
      <w:r>
        <w:rPr>
          <w:rFonts w:ascii="Times New Roman" w:hAnsi="Times New Roman" w:cs="Times New Roman"/>
          <w:sz w:val="28"/>
        </w:rPr>
        <w:br/>
        <w:t xml:space="preserve">о предоставлении субсидий из бюджета города Перми (далее –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15 рабочих дней со дня вступления в силу решения Пермской городской Думы о бюджете города Перми на очередной финансовый год и плановый период. 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 Условиями заключения Соглашения являются: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соответствие Учреждения требованиям, установленным </w:t>
      </w:r>
      <w:hyperlink w:anchor="P68" w:tooltip="#P68" w:history="1">
        <w:r>
          <w:rPr>
            <w:rFonts w:ascii="Times New Roman" w:hAnsi="Times New Roman" w:cs="Times New Roman"/>
            <w:sz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</w:rPr>
        <w:t>2.2 настоящего Порядка;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«Доступное </w:t>
      </w:r>
      <w:r>
        <w:rPr>
          <w:rFonts w:ascii="Times New Roman" w:hAnsi="Times New Roman" w:cs="Times New Roman"/>
          <w:sz w:val="28"/>
        </w:rPr>
        <w:br/>
        <w:t>и качественное образование».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2.9. Внесение изменений в Соглашение.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«Доступное и качественное образование», требующих внесения изменений </w:t>
      </w:r>
      <w:r>
        <w:rPr>
          <w:rFonts w:ascii="Times New Roman" w:hAnsi="Times New Roman" w:cs="Times New Roman"/>
          <w:sz w:val="28"/>
        </w:rPr>
        <w:br/>
        <w:t>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2.10. Субсидии на иные цели перечисляются Учреждению в сроки, установленные Соглашением. Периодичность перечисления субсидий на иные цели – в течение года после представления документов, подтверждающих возникновение денежных обязательств.</w:t>
      </w:r>
    </w:p>
    <w:p w:rsidR="00DA333A" w:rsidRDefault="001D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2.11. Субсидии на иные цели Учреждению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Перми, </w:t>
      </w:r>
      <w:r>
        <w:rPr>
          <w:sz w:val="28"/>
        </w:rPr>
        <w:br/>
        <w:t>в установленном порядке.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 Средства, предоставляемые Учреждению в виде субсидий на иные цели, расходуются в соответствии с их целевым назначением и не могут быть направлены на другие цели.</w:t>
      </w:r>
    </w:p>
    <w:p w:rsidR="00DA333A" w:rsidRDefault="001D7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95"/>
      <w:bookmarkEnd w:id="1"/>
      <w:r>
        <w:rPr>
          <w:rFonts w:ascii="Times New Roman" w:hAnsi="Times New Roman" w:cs="Times New Roman"/>
          <w:sz w:val="28"/>
        </w:rPr>
        <w:t>2.13. Результатами предоставления субсидий на иные цели являются количество часов на проведение мероприятий по сохранению и использованию музея «Дом Дягилева» и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количество учащихся, участвующих в проведении мероприятий по сохранению и использованию музея «Дом Дягилева» </w:t>
      </w:r>
      <w:r>
        <w:rPr>
          <w:rFonts w:ascii="Times New Roman" w:hAnsi="Times New Roman" w:cs="Times New Roman"/>
          <w:sz w:val="28"/>
        </w:rPr>
        <w:br/>
        <w:t xml:space="preserve">в соответствии с муниципальной программой «Доступное и качественное образование». </w:t>
      </w:r>
    </w:p>
    <w:p w:rsidR="00DA333A" w:rsidRDefault="001D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результата</w:t>
      </w:r>
      <w:r>
        <w:rPr>
          <w:sz w:val="28"/>
        </w:rPr>
        <w:t xml:space="preserve"> предоставления субсидий на иные цели</w:t>
      </w:r>
      <w:r>
        <w:rPr>
          <w:sz w:val="28"/>
          <w:szCs w:val="28"/>
        </w:rPr>
        <w:t xml:space="preserve"> установлены в приложении 3 к настоящему Порядку</w:t>
      </w:r>
      <w:r>
        <w:rPr>
          <w:sz w:val="28"/>
        </w:rPr>
        <w:t xml:space="preserve"> на 2024 год и плановый период 2025 и 2026 годов</w:t>
      </w:r>
      <w:r>
        <w:rPr>
          <w:sz w:val="28"/>
          <w:szCs w:val="28"/>
        </w:rPr>
        <w:t>.</w:t>
      </w:r>
    </w:p>
    <w:p w:rsidR="00DA333A" w:rsidRDefault="001D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цели, содержащий следующие мероприятия </w:t>
      </w:r>
      <w:r>
        <w:rPr>
          <w:sz w:val="28"/>
          <w:szCs w:val="28"/>
        </w:rPr>
        <w:br/>
        <w:t>и их плановые значения:</w:t>
      </w:r>
    </w:p>
    <w:p w:rsidR="00DA333A" w:rsidRDefault="001D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«утверждение документа (приказ)» с плановым значением </w:t>
      </w:r>
      <w:r>
        <w:rPr>
          <w:sz w:val="28"/>
          <w:szCs w:val="28"/>
        </w:rPr>
        <w:br/>
        <w:t>1 ед.;</w:t>
      </w:r>
    </w:p>
    <w:p w:rsidR="00DA333A" w:rsidRDefault="001D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«заключение контракта на оказание услуги» с плановым значением не менее 1 ед.;</w:t>
      </w:r>
    </w:p>
    <w:p w:rsidR="00DA333A" w:rsidRDefault="001D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«вовлеченность учащихся в мероприятие, чел.» с плановым значением, равным плановому значению результата;</w:t>
      </w:r>
    </w:p>
    <w:p w:rsidR="00DA333A" w:rsidRDefault="001D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«организация проведения мероприятий по сохранению </w:t>
      </w:r>
      <w:r>
        <w:rPr>
          <w:sz w:val="28"/>
          <w:szCs w:val="28"/>
        </w:rPr>
        <w:br/>
        <w:t>и использованию музеев, час» с плановым значением, равным плановому значению результата.</w:t>
      </w:r>
    </w:p>
    <w:p w:rsidR="00DA333A" w:rsidRDefault="00DA33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A333A" w:rsidRDefault="001D73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III. Требования к отчетности</w:t>
      </w:r>
    </w:p>
    <w:p w:rsidR="00DA333A" w:rsidRDefault="00DA333A">
      <w:pPr>
        <w:ind w:firstLine="709"/>
        <w:jc w:val="both"/>
        <w:rPr>
          <w:sz w:val="28"/>
        </w:rPr>
      </w:pP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3.1. Учреждение представляет в Департамент следующую отчетность </w:t>
      </w:r>
      <w:r>
        <w:rPr>
          <w:sz w:val="28"/>
        </w:rPr>
        <w:br/>
        <w:t>(далее – Отчеты):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DA333A" w:rsidRDefault="00453631">
      <w:pPr>
        <w:ind w:firstLine="709"/>
        <w:jc w:val="both"/>
        <w:rPr>
          <w:sz w:val="28"/>
        </w:rPr>
      </w:pPr>
      <w:hyperlink w:anchor="P790" w:tooltip="#P790" w:history="1">
        <w:r w:rsidR="001D738B">
          <w:rPr>
            <w:sz w:val="28"/>
          </w:rPr>
          <w:t>отчет</w:t>
        </w:r>
      </w:hyperlink>
      <w:r w:rsidR="001D738B">
        <w:rPr>
          <w:sz w:val="28"/>
        </w:rPr>
        <w:t xml:space="preserve"> о расходах, источником финансового обеспечения которых являются субсидии на иные цели;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>3.1.2. ежегодно не позднее 25 января года, следующего за отчетным: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>отчет о достижении значений результатов предоставления субсидий на иные цели;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>отчет о реализации плана мероприятий по достижению результата предоставления субсидий на иные цели.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>3.2. Отчеты представляются по форме, установленной типовой формой.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3.3. Ответственность за своевременностью представления Отчетов </w:t>
      </w:r>
      <w:r>
        <w:rPr>
          <w:sz w:val="28"/>
        </w:rPr>
        <w:br/>
        <w:t>и достоверностью отчетных данных возлагается на руководителей Учреждений.</w:t>
      </w:r>
    </w:p>
    <w:p w:rsidR="00DA333A" w:rsidRDefault="00DA333A">
      <w:pPr>
        <w:ind w:firstLine="709"/>
        <w:jc w:val="both"/>
        <w:rPr>
          <w:sz w:val="28"/>
        </w:rPr>
      </w:pPr>
    </w:p>
    <w:p w:rsidR="00DA333A" w:rsidRDefault="001D738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IV. Порядок осуществления контроля за соблюдением целей,</w:t>
      </w:r>
    </w:p>
    <w:p w:rsidR="00DA333A" w:rsidRDefault="001D738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условий и порядка предоставления субсидий на иные цели</w:t>
      </w:r>
    </w:p>
    <w:p w:rsidR="00DA333A" w:rsidRDefault="001D738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и ответственность за их несоблюдение</w:t>
      </w:r>
    </w:p>
    <w:p w:rsidR="00DA333A" w:rsidRDefault="00DA333A">
      <w:pPr>
        <w:ind w:firstLine="709"/>
        <w:jc w:val="both"/>
        <w:rPr>
          <w:sz w:val="28"/>
        </w:rPr>
      </w:pP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Учреждению субсидий на иные цели.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4.2. Ответственность за нецелевое использование средств субсидий на иные цели, несоблюдение условий их предоставления, установленных настоящим Порядком и (или) Соглашением, несет руководитель Учреждения в соответствии </w:t>
      </w:r>
      <w:r>
        <w:rPr>
          <w:sz w:val="28"/>
        </w:rPr>
        <w:br/>
        <w:t>с законодательством.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4.3. В случае несоблюдения Учреждением целей и условий, установленных при предоставлении субсидий на иные цели, выявленного по результатам проверок, проведенных Департаментом и уполномоченным органом </w:t>
      </w:r>
      <w:r>
        <w:rPr>
          <w:sz w:val="28"/>
        </w:rPr>
        <w:lastRenderedPageBreak/>
        <w:t xml:space="preserve">муниципального финансового контроля, данные средства подлежат возврату </w:t>
      </w:r>
      <w:r>
        <w:rPr>
          <w:sz w:val="28"/>
        </w:rPr>
        <w:br/>
        <w:t>в бюджет города Перми в следующие сроки: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требования Департамента – в течение 30 календарных дней </w:t>
      </w:r>
      <w:r>
        <w:rPr>
          <w:sz w:val="28"/>
        </w:rPr>
        <w:br/>
        <w:t>со дня получения Учреждениями соответствующего требования;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>
        <w:rPr>
          <w:sz w:val="28"/>
        </w:rPr>
        <w:br/>
        <w:t>с бюджетным законодательством Российской Федерации.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невыполнения Учреждением требований о возврате субсидий </w:t>
      </w:r>
      <w:r>
        <w:rPr>
          <w:sz w:val="28"/>
        </w:rPr>
        <w:br/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  <w:t>в судебном порядке в соответствии с действующим законодательством.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95" w:tooltip="#P95" w:history="1">
        <w:r>
          <w:rPr>
            <w:sz w:val="28"/>
          </w:rPr>
          <w:t>пунктом 2.1</w:t>
        </w:r>
      </w:hyperlink>
      <w:r>
        <w:rPr>
          <w:sz w:val="28"/>
        </w:rPr>
        <w:t xml:space="preserve">3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  <w:t>со дня выявления указанного недостижения.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  <w:t>(V</w:t>
      </w:r>
      <w:r>
        <w:rPr>
          <w:sz w:val="28"/>
          <w:vertAlign w:val="subscript"/>
        </w:rPr>
        <w:t>возврата</w:t>
      </w:r>
      <w:r>
        <w:rPr>
          <w:sz w:val="28"/>
        </w:rPr>
        <w:t>), рассчитывается по формуле:</w:t>
      </w:r>
    </w:p>
    <w:p w:rsidR="00DA333A" w:rsidRDefault="00DA333A">
      <w:pPr>
        <w:ind w:firstLine="709"/>
        <w:jc w:val="both"/>
        <w:rPr>
          <w:sz w:val="28"/>
        </w:rPr>
      </w:pPr>
    </w:p>
    <w:p w:rsidR="00DA333A" w:rsidRDefault="0045363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возврата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sz w:val="28"/>
            <w:szCs w:val="28"/>
          </w:rPr>
          <m:t>=(1-</m:t>
        </m:r>
        <m:f>
          <m:fPr>
            <m:ctrlPr>
              <w:rPr>
                <w:rFonts w:ascii="Cambria Math" w:eastAsia="Cambria Math" w:hAnsi="Cambria Math" w:cs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eastAsia="Cambria Math" w:hAnsi="Cambria Math" w:cs="Cambria Math"/>
            <w:sz w:val="28"/>
            <w:szCs w:val="28"/>
          </w:rPr>
          <m:t>)×</m:t>
        </m:r>
        <m:sSub>
          <m:sSubPr>
            <m:ctrlPr>
              <w:rPr>
                <w:rFonts w:ascii="Cambria Math" w:eastAsia="Cambria Math" w:hAnsi="Cambria Math" w:cs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субсидии</m:t>
            </m:r>
          </m:sub>
        </m:sSub>
      </m:oMath>
      <w:r w:rsidR="001D738B">
        <w:rPr>
          <w:sz w:val="28"/>
          <w:szCs w:val="28"/>
        </w:rPr>
        <w:t>, где</w:t>
      </w:r>
    </w:p>
    <w:p w:rsidR="00DA333A" w:rsidRDefault="00DA333A">
      <w:pPr>
        <w:jc w:val="both"/>
        <w:rPr>
          <w:sz w:val="28"/>
        </w:rPr>
      </w:pP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субсидии</w:t>
      </w:r>
      <w:r>
        <w:rPr>
          <w:sz w:val="28"/>
        </w:rPr>
        <w:t xml:space="preserve"> – размер субсидий на иные цели, полученный Учреждением;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>X</w:t>
      </w:r>
      <w:r>
        <w:rPr>
          <w:sz w:val="28"/>
          <w:vertAlign w:val="subscript"/>
        </w:rPr>
        <w:t>факт</w:t>
      </w:r>
      <w:r>
        <w:rPr>
          <w:sz w:val="28"/>
        </w:rPr>
        <w:t xml:space="preserve"> – фактически достигнутое значение результата предоставления субсидий на иные цели на отчетную дату;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>X</w:t>
      </w:r>
      <w:r>
        <w:rPr>
          <w:sz w:val="28"/>
          <w:vertAlign w:val="subscript"/>
        </w:rPr>
        <w:t>план</w:t>
      </w:r>
      <w:r>
        <w:rPr>
          <w:sz w:val="28"/>
        </w:rPr>
        <w:t xml:space="preserve"> – плановый результат предоставления субсидий на иные цели.</w:t>
      </w:r>
    </w:p>
    <w:p w:rsidR="00DA333A" w:rsidRDefault="001D738B">
      <w:pPr>
        <w:ind w:firstLine="709"/>
        <w:jc w:val="both"/>
        <w:rPr>
          <w:sz w:val="28"/>
        </w:rPr>
      </w:pPr>
      <w:bookmarkStart w:id="2" w:name="P126"/>
      <w:bookmarkEnd w:id="2"/>
      <w:r>
        <w:rPr>
          <w:sz w:val="28"/>
        </w:rPr>
        <w:t xml:space="preserve">4.5. 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>
        <w:rPr>
          <w:sz w:val="28"/>
        </w:rPr>
        <w:br/>
        <w:t>не позднее первых 4 рабочих дней очередного финансового года.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Учреждением в очередном финансовом году </w:t>
      </w:r>
      <w:r>
        <w:rPr>
          <w:sz w:val="28"/>
        </w:rPr>
        <w:br/>
        <w:t>при наличии потребности в направлении их на те же цели.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При наличии у Учреждения потребности в указанных средствах Учреждение направляет в Департамент до 01 февраля текущего года запрос, отражающий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</w:rPr>
        <w:br/>
        <w:t xml:space="preserve">в текущем финансовом году. 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запросов Учреждения Департамент принимает решение, оформленное приказом начальника Департамента, о возврате остатков субсидий на иные цели в течение 30 рабочих дней с момента поступления запросов, </w:t>
      </w:r>
      <w:r>
        <w:rPr>
          <w:sz w:val="28"/>
        </w:rPr>
        <w:br/>
        <w:t>но не позднее 20 мая текущего года.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>В соответствии с решением Департамента остатки субсидий на ины</w:t>
      </w:r>
      <w:r w:rsidR="00FF131A">
        <w:rPr>
          <w:sz w:val="28"/>
        </w:rPr>
        <w:t>е цели, перечисленные Учреждением</w:t>
      </w:r>
      <w:r>
        <w:rPr>
          <w:sz w:val="28"/>
        </w:rPr>
        <w:t xml:space="preserve"> в доход бюджета города Перми, возвращаются Учреждению в очередном финансовом году.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случае если Учреждением не обоснована потребность в направлении остатков субсидий на иные цели, они считаются неподтвержденными </w:t>
      </w:r>
      <w:r>
        <w:rPr>
          <w:sz w:val="28"/>
        </w:rPr>
        <w:br/>
        <w:t>и не подлежат возврату Учреждению.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неиспользованные остатки субсидий на иные цели </w:t>
      </w:r>
      <w:r>
        <w:rPr>
          <w:sz w:val="28"/>
        </w:rPr>
        <w:br/>
        <w:t xml:space="preserve">не перечислены Учреждением в доход бюджета города Перми в сроки, установленные бюджетным законодательством, то они подлежат взысканию </w:t>
      </w:r>
      <w:r>
        <w:rPr>
          <w:sz w:val="28"/>
        </w:rPr>
        <w:br/>
        <w:t>в установленном законом порядке.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Учреждение не позднее </w:t>
      </w:r>
      <w:r>
        <w:rPr>
          <w:sz w:val="28"/>
        </w:rPr>
        <w:br/>
        <w:t xml:space="preserve">5 рабочих дней с момента поступления средств в Учреждение направляет </w:t>
      </w:r>
      <w:r>
        <w:rPr>
          <w:sz w:val="28"/>
        </w:rPr>
        <w:br/>
        <w:t xml:space="preserve">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</w:rPr>
        <w:br/>
        <w:t>в текущем финансовом году.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Учреждением запросов Департамент в течение 30 рабочих дней с момента поступления средств </w:t>
      </w:r>
      <w:r>
        <w:rPr>
          <w:sz w:val="28"/>
        </w:rPr>
        <w:br/>
        <w:t xml:space="preserve">в Учреждение принимает решение путем издания приказа об использовании </w:t>
      </w:r>
      <w:r>
        <w:rPr>
          <w:sz w:val="28"/>
        </w:rPr>
        <w:br/>
        <w:t>в текущем финансовом году указанных средств.»;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1.2. приложение 2 изложить в редакции согласно приложению 1 </w:t>
      </w:r>
      <w:r>
        <w:rPr>
          <w:sz w:val="28"/>
        </w:rPr>
        <w:br/>
        <w:t>к настоящему постановлению;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 xml:space="preserve">1.3. приложение 3 изложить в редакции согласно приложению 2 </w:t>
      </w:r>
      <w:r>
        <w:rPr>
          <w:sz w:val="28"/>
        </w:rPr>
        <w:br/>
        <w:t>к настоящему постановлению;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>1.4. приложение 4 признать утратившим силу;</w:t>
      </w:r>
    </w:p>
    <w:p w:rsidR="00DA333A" w:rsidRDefault="001D738B">
      <w:pPr>
        <w:ind w:firstLine="709"/>
        <w:jc w:val="both"/>
        <w:rPr>
          <w:sz w:val="28"/>
        </w:rPr>
      </w:pPr>
      <w:r>
        <w:rPr>
          <w:sz w:val="28"/>
        </w:rPr>
        <w:t>1.5. приложение 5 признать утратившим силу.</w:t>
      </w:r>
    </w:p>
    <w:p w:rsidR="00DA333A" w:rsidRDefault="001D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333A" w:rsidRDefault="001D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333A" w:rsidRDefault="001D73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DA333A" w:rsidRDefault="001D738B">
      <w:pPr>
        <w:rPr>
          <w:sz w:val="28"/>
          <w:szCs w:val="28"/>
        </w:rPr>
      </w:pPr>
      <w:r>
        <w:rPr>
          <w:bCs/>
          <w:sz w:val="28"/>
          <w:szCs w:val="28"/>
        </w:rPr>
        <w:br w:type="page" w:clear="all"/>
      </w:r>
    </w:p>
    <w:p w:rsidR="00DA333A" w:rsidRDefault="001D738B">
      <w:pPr>
        <w:ind w:firstLine="720"/>
        <w:jc w:val="both"/>
      </w:pPr>
      <w:r>
        <w:rPr>
          <w:bCs/>
          <w:sz w:val="28"/>
          <w:szCs w:val="28"/>
        </w:rPr>
        <w:t xml:space="preserve">5. 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>на исполняющего обязанности заместителя главы администра</w:t>
      </w:r>
      <w:r w:rsidR="00FF131A">
        <w:rPr>
          <w:bCs/>
          <w:sz w:val="28"/>
          <w:szCs w:val="28"/>
        </w:rPr>
        <w:t>ции города Перми Овсянникову Ю.А</w:t>
      </w:r>
      <w:r>
        <w:rPr>
          <w:bCs/>
          <w:sz w:val="28"/>
          <w:szCs w:val="28"/>
        </w:rPr>
        <w:t>.</w:t>
      </w:r>
    </w:p>
    <w:p w:rsidR="00DA333A" w:rsidRDefault="00DA333A">
      <w:pPr>
        <w:spacing w:line="240" w:lineRule="exact"/>
        <w:ind w:firstLine="720"/>
        <w:jc w:val="both"/>
      </w:pPr>
    </w:p>
    <w:p w:rsidR="00DA333A" w:rsidRDefault="00DA333A">
      <w:pPr>
        <w:spacing w:line="240" w:lineRule="exact"/>
        <w:ind w:firstLine="720"/>
        <w:jc w:val="both"/>
      </w:pPr>
    </w:p>
    <w:p w:rsidR="00DA333A" w:rsidRDefault="00DA333A">
      <w:pPr>
        <w:tabs>
          <w:tab w:val="left" w:pos="7938"/>
        </w:tabs>
        <w:spacing w:line="240" w:lineRule="exact"/>
        <w:jc w:val="both"/>
      </w:pPr>
    </w:p>
    <w:p w:rsidR="00DA333A" w:rsidRDefault="001D738B">
      <w:pPr>
        <w:tabs>
          <w:tab w:val="left" w:pos="7938"/>
        </w:tabs>
        <w:spacing w:line="240" w:lineRule="exact"/>
        <w:jc w:val="both"/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DA333A" w:rsidRDefault="00DA333A">
      <w:pPr>
        <w:spacing w:after="720"/>
        <w:ind w:firstLine="720"/>
        <w:jc w:val="both"/>
        <w:rPr>
          <w:sz w:val="28"/>
          <w:szCs w:val="28"/>
        </w:rPr>
      </w:pPr>
    </w:p>
    <w:p w:rsidR="00DA333A" w:rsidRDefault="00DA333A">
      <w:pPr>
        <w:spacing w:after="720" w:line="283" w:lineRule="exact"/>
        <w:jc w:val="both"/>
        <w:rPr>
          <w:sz w:val="28"/>
          <w:szCs w:val="28"/>
        </w:rPr>
        <w:sectPr w:rsidR="00DA333A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134" w:right="567" w:bottom="1134" w:left="1417" w:header="363" w:footer="709" w:gutter="0"/>
          <w:cols w:space="708"/>
          <w:titlePg/>
          <w:docGrid w:linePitch="360"/>
        </w:sectPr>
      </w:pPr>
    </w:p>
    <w:p w:rsidR="00DA333A" w:rsidRDefault="001D738B">
      <w:pPr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br/>
        <w:t>к постановлению администрации города Перми</w:t>
      </w:r>
    </w:p>
    <w:p w:rsidR="00DA333A" w:rsidRDefault="00713AF6">
      <w:pPr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t>о</w:t>
      </w:r>
      <w:r w:rsidR="001D738B">
        <w:rPr>
          <w:sz w:val="28"/>
          <w:szCs w:val="28"/>
        </w:rPr>
        <w:t>т</w:t>
      </w:r>
      <w:r>
        <w:rPr>
          <w:sz w:val="28"/>
          <w:szCs w:val="28"/>
        </w:rPr>
        <w:t xml:space="preserve"> 20.09.2023 № 848</w:t>
      </w:r>
    </w:p>
    <w:p w:rsidR="00DA333A" w:rsidRDefault="00DA333A">
      <w:pPr>
        <w:spacing w:line="240" w:lineRule="exact"/>
        <w:rPr>
          <w:sz w:val="28"/>
          <w:szCs w:val="28"/>
        </w:rPr>
      </w:pPr>
    </w:p>
    <w:p w:rsidR="00DA333A" w:rsidRDefault="00DA333A">
      <w:pPr>
        <w:spacing w:line="240" w:lineRule="exact"/>
        <w:jc w:val="center"/>
        <w:rPr>
          <w:sz w:val="28"/>
          <w:szCs w:val="28"/>
        </w:rPr>
      </w:pPr>
    </w:p>
    <w:p w:rsidR="00DA333A" w:rsidRDefault="001D7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СУБСИДИЙ </w:t>
      </w:r>
    </w:p>
    <w:p w:rsidR="00DA333A" w:rsidRDefault="001D73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на проведение мероприятий по сохранению и использованию музея «Дом Дягилева» </w:t>
      </w:r>
    </w:p>
    <w:p w:rsidR="00DA333A" w:rsidRDefault="001D73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 и 2026 годов</w:t>
      </w:r>
    </w:p>
    <w:p w:rsidR="00DA333A" w:rsidRDefault="00DA333A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9"/>
        <w:gridCol w:w="4292"/>
        <w:gridCol w:w="4189"/>
        <w:gridCol w:w="1841"/>
        <w:gridCol w:w="1841"/>
        <w:gridCol w:w="1841"/>
      </w:tblGrid>
      <w:tr w:rsidR="00DA333A"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субсидий на иные цели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 субсидий на иные цели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субсидий на иные цели, тыс. руб.</w:t>
            </w:r>
          </w:p>
        </w:tc>
      </w:tr>
      <w:tr w:rsidR="00DA333A"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DA333A">
            <w:pPr>
              <w:rPr>
                <w:sz w:val="24"/>
                <w:szCs w:val="24"/>
              </w:rPr>
            </w:pPr>
          </w:p>
        </w:tc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DA333A">
            <w:pPr>
              <w:rPr>
                <w:sz w:val="24"/>
                <w:szCs w:val="24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DA3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DA333A">
        <w:trPr>
          <w:trHeight w:val="276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A333A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 на проведение мероприятий по сохранению и использованию музея «Дом Дягилева»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«Гимназия № 11 им. С.П. Дягилева» </w:t>
            </w:r>
            <w:r>
              <w:rPr>
                <w:sz w:val="24"/>
                <w:szCs w:val="24"/>
              </w:rPr>
              <w:br/>
              <w:t>г. Перми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1 845,300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1 845,300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1 845,300</w:t>
            </w:r>
          </w:p>
        </w:tc>
      </w:tr>
      <w:tr w:rsidR="00DA333A">
        <w:tc>
          <w:tcPr>
            <w:tcW w:w="3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1 845,300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1 845,300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1 845,300</w:t>
            </w:r>
          </w:p>
        </w:tc>
      </w:tr>
    </w:tbl>
    <w:p w:rsidR="00DA333A" w:rsidRDefault="00DA333A">
      <w:pPr>
        <w:jc w:val="center"/>
        <w:rPr>
          <w:b/>
          <w:sz w:val="28"/>
          <w:szCs w:val="28"/>
        </w:rPr>
      </w:pPr>
    </w:p>
    <w:p w:rsidR="00DA333A" w:rsidRDefault="001D738B">
      <w:pPr>
        <w:spacing w:line="240" w:lineRule="exact"/>
        <w:ind w:left="10773"/>
        <w:rPr>
          <w:sz w:val="24"/>
          <w:szCs w:val="24"/>
        </w:rPr>
        <w:sectPr w:rsidR="00DA333A">
          <w:headerReference w:type="even" r:id="rId26"/>
          <w:headerReference w:type="default" r:id="rId27"/>
          <w:footerReference w:type="default" r:id="rId28"/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4"/>
          <w:szCs w:val="24"/>
        </w:rPr>
        <w:br w:type="page" w:clear="all"/>
      </w:r>
    </w:p>
    <w:p w:rsidR="00DA333A" w:rsidRDefault="001D738B">
      <w:pPr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  <w:br/>
        <w:t>к постановлению администрации города Перми</w:t>
      </w:r>
    </w:p>
    <w:p w:rsidR="00DA333A" w:rsidRDefault="00713AF6">
      <w:pPr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3" w:name="_GoBack"/>
      <w:bookmarkEnd w:id="3"/>
      <w:r w:rsidR="001D738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20.09.2023 № 848</w:t>
      </w:r>
    </w:p>
    <w:p w:rsidR="00DA333A" w:rsidRDefault="00DA333A">
      <w:pPr>
        <w:spacing w:line="240" w:lineRule="exact"/>
        <w:rPr>
          <w:sz w:val="24"/>
          <w:szCs w:val="24"/>
        </w:rPr>
      </w:pPr>
    </w:p>
    <w:p w:rsidR="00DA333A" w:rsidRDefault="001D738B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ПЛАНОВЫЕ ЗНАЧЕНИЯ </w:t>
      </w:r>
    </w:p>
    <w:p w:rsidR="00DA333A" w:rsidRDefault="001D738B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результата предоставления субсидий на иные цели </w:t>
      </w:r>
      <w:r>
        <w:rPr>
          <w:b/>
          <w:sz w:val="28"/>
          <w:szCs w:val="28"/>
        </w:rPr>
        <w:br/>
        <w:t>на 2024 год и плановый период 2025 и 2026 годов</w:t>
      </w:r>
    </w:p>
    <w:p w:rsidR="00DA333A" w:rsidRDefault="00DA333A">
      <w:pPr>
        <w:spacing w:line="240" w:lineRule="exact"/>
        <w:jc w:val="center"/>
        <w:rPr>
          <w:b/>
          <w:szCs w:val="24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3419"/>
        <w:gridCol w:w="4819"/>
        <w:gridCol w:w="1956"/>
        <w:gridCol w:w="1402"/>
        <w:gridCol w:w="1402"/>
        <w:gridCol w:w="1402"/>
      </w:tblGrid>
      <w:tr w:rsidR="00DA333A">
        <w:trPr>
          <w:trHeight w:val="20"/>
          <w:tblHeader/>
        </w:trPr>
        <w:tc>
          <w:tcPr>
            <w:tcW w:w="404" w:type="dxa"/>
            <w:vMerge w:val="restart"/>
            <w:tcBorders>
              <w:bottom w:val="none" w:sz="4" w:space="0" w:color="000000"/>
            </w:tcBorders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19" w:type="dxa"/>
            <w:vMerge w:val="restart"/>
            <w:tcBorders>
              <w:bottom w:val="none" w:sz="4" w:space="0" w:color="000000"/>
            </w:tcBorders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4819" w:type="dxa"/>
            <w:vMerge w:val="restart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956" w:type="dxa"/>
            <w:vMerge w:val="restart"/>
            <w:tcBorders>
              <w:bottom w:val="none" w:sz="4" w:space="0" w:color="000000"/>
            </w:tcBorders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результата</w:t>
            </w:r>
          </w:p>
        </w:tc>
        <w:tc>
          <w:tcPr>
            <w:tcW w:w="4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</w:t>
            </w:r>
          </w:p>
        </w:tc>
      </w:tr>
      <w:tr w:rsidR="00DA333A">
        <w:trPr>
          <w:trHeight w:val="20"/>
          <w:tblHeader/>
        </w:trPr>
        <w:tc>
          <w:tcPr>
            <w:tcW w:w="404" w:type="dxa"/>
            <w:vMerge/>
            <w:tcBorders>
              <w:bottom w:val="none" w:sz="4" w:space="0" w:color="000000"/>
            </w:tcBorders>
            <w:shd w:val="clear" w:color="auto" w:fill="auto"/>
          </w:tcPr>
          <w:p w:rsidR="00DA333A" w:rsidRDefault="00DA333A">
            <w:pPr>
              <w:jc w:val="center"/>
            </w:pPr>
          </w:p>
        </w:tc>
        <w:tc>
          <w:tcPr>
            <w:tcW w:w="3419" w:type="dxa"/>
            <w:vMerge/>
            <w:tcBorders>
              <w:bottom w:val="none" w:sz="4" w:space="0" w:color="000000"/>
            </w:tcBorders>
            <w:shd w:val="clear" w:color="auto" w:fill="auto"/>
          </w:tcPr>
          <w:p w:rsidR="00DA333A" w:rsidRDefault="00DA333A">
            <w:pPr>
              <w:jc w:val="center"/>
            </w:pPr>
          </w:p>
        </w:tc>
        <w:tc>
          <w:tcPr>
            <w:tcW w:w="4819" w:type="dxa"/>
            <w:vMerge/>
            <w:tcBorders>
              <w:bottom w:val="none" w:sz="4" w:space="0" w:color="000000"/>
            </w:tcBorders>
          </w:tcPr>
          <w:p w:rsidR="00DA333A" w:rsidRDefault="00DA333A">
            <w:pPr>
              <w:jc w:val="center"/>
            </w:pPr>
          </w:p>
        </w:tc>
        <w:tc>
          <w:tcPr>
            <w:tcW w:w="1956" w:type="dxa"/>
            <w:vMerge/>
            <w:tcBorders>
              <w:bottom w:val="none" w:sz="4" w:space="0" w:color="000000"/>
            </w:tcBorders>
            <w:shd w:val="clear" w:color="auto" w:fill="auto"/>
          </w:tcPr>
          <w:p w:rsidR="00DA333A" w:rsidRDefault="00DA333A">
            <w:pPr>
              <w:jc w:val="center"/>
            </w:pPr>
          </w:p>
        </w:tc>
        <w:tc>
          <w:tcPr>
            <w:tcW w:w="1402" w:type="dxa"/>
            <w:tcBorders>
              <w:bottom w:val="none" w:sz="4" w:space="0" w:color="000000"/>
            </w:tcBorders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01.01.2024 по 31.12.2024</w:t>
            </w:r>
          </w:p>
        </w:tc>
        <w:tc>
          <w:tcPr>
            <w:tcW w:w="1402" w:type="dxa"/>
            <w:tcBorders>
              <w:bottom w:val="none" w:sz="4" w:space="0" w:color="000000"/>
            </w:tcBorders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01.01.2025 по 31.12.2025</w:t>
            </w:r>
          </w:p>
        </w:tc>
        <w:tc>
          <w:tcPr>
            <w:tcW w:w="1402" w:type="dxa"/>
            <w:tcBorders>
              <w:bottom w:val="none" w:sz="4" w:space="0" w:color="000000"/>
            </w:tcBorders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01.01.2026 по 31.12.2026</w:t>
            </w:r>
          </w:p>
        </w:tc>
      </w:tr>
    </w:tbl>
    <w:p w:rsidR="00DA333A" w:rsidRDefault="00DA333A">
      <w:pPr>
        <w:rPr>
          <w:sz w:val="2"/>
          <w:szCs w:val="2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3419"/>
        <w:gridCol w:w="4819"/>
        <w:gridCol w:w="1956"/>
        <w:gridCol w:w="1402"/>
        <w:gridCol w:w="1402"/>
        <w:gridCol w:w="1402"/>
      </w:tblGrid>
      <w:tr w:rsidR="00DA333A">
        <w:trPr>
          <w:trHeight w:val="20"/>
          <w:tblHeader/>
        </w:trPr>
        <w:tc>
          <w:tcPr>
            <w:tcW w:w="404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A333A">
        <w:trPr>
          <w:trHeight w:val="20"/>
        </w:trPr>
        <w:tc>
          <w:tcPr>
            <w:tcW w:w="404" w:type="dxa"/>
            <w:vMerge w:val="restart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9" w:type="dxa"/>
            <w:vMerge w:val="restart"/>
            <w:shd w:val="clear" w:color="auto" w:fill="auto"/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sz w:val="24"/>
                <w:szCs w:val="24"/>
              </w:rPr>
              <w:br/>
              <w:t xml:space="preserve">«Гимназия № 11 </w:t>
            </w:r>
            <w:r>
              <w:rPr>
                <w:sz w:val="24"/>
                <w:szCs w:val="24"/>
              </w:rPr>
              <w:br/>
              <w:t>им. С.П. Дягилева» г. Перми</w:t>
            </w:r>
          </w:p>
        </w:tc>
        <w:tc>
          <w:tcPr>
            <w:tcW w:w="4819" w:type="dxa"/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музейным и библиотечным фондом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на проведение мероприятия по сохранению и использованию музея «Дом Дягилева»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</w:tr>
      <w:tr w:rsidR="00DA333A">
        <w:trPr>
          <w:trHeight w:val="20"/>
        </w:trPr>
        <w:tc>
          <w:tcPr>
            <w:tcW w:w="404" w:type="dxa"/>
            <w:vMerge/>
            <w:shd w:val="clear" w:color="auto" w:fill="auto"/>
          </w:tcPr>
          <w:p w:rsidR="00DA333A" w:rsidRDefault="00DA333A"/>
        </w:tc>
        <w:tc>
          <w:tcPr>
            <w:tcW w:w="3419" w:type="dxa"/>
            <w:vMerge/>
            <w:shd w:val="clear" w:color="auto" w:fill="auto"/>
          </w:tcPr>
          <w:p w:rsidR="00DA333A" w:rsidRDefault="00DA333A"/>
        </w:tc>
        <w:tc>
          <w:tcPr>
            <w:tcW w:w="4819" w:type="dxa"/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Музейные занятия и лекции, клуб «Юный экскурсовод», «Литературная гостиная»</w:t>
            </w:r>
          </w:p>
        </w:tc>
        <w:tc>
          <w:tcPr>
            <w:tcW w:w="1956" w:type="dxa"/>
            <w:vMerge/>
            <w:shd w:val="clear" w:color="auto" w:fill="auto"/>
          </w:tcPr>
          <w:p w:rsidR="00DA333A" w:rsidRDefault="00DA333A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1 113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1 113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1 113</w:t>
            </w:r>
          </w:p>
        </w:tc>
      </w:tr>
      <w:tr w:rsidR="00DA333A">
        <w:trPr>
          <w:trHeight w:val="20"/>
        </w:trPr>
        <w:tc>
          <w:tcPr>
            <w:tcW w:w="404" w:type="dxa"/>
            <w:vMerge/>
            <w:shd w:val="clear" w:color="auto" w:fill="auto"/>
          </w:tcPr>
          <w:p w:rsidR="00DA333A" w:rsidRDefault="00DA333A"/>
        </w:tc>
        <w:tc>
          <w:tcPr>
            <w:tcW w:w="3419" w:type="dxa"/>
            <w:vMerge/>
            <w:shd w:val="clear" w:color="auto" w:fill="auto"/>
          </w:tcPr>
          <w:p w:rsidR="00DA333A" w:rsidRDefault="00DA333A"/>
        </w:tc>
        <w:tc>
          <w:tcPr>
            <w:tcW w:w="4819" w:type="dxa"/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новых экспозиций и выставок, выявление, обработка новых поступлений </w:t>
            </w:r>
            <w:r>
              <w:rPr>
                <w:sz w:val="24"/>
                <w:szCs w:val="24"/>
              </w:rPr>
              <w:br/>
              <w:t>в музейный фонд</w:t>
            </w:r>
          </w:p>
        </w:tc>
        <w:tc>
          <w:tcPr>
            <w:tcW w:w="1956" w:type="dxa"/>
            <w:vMerge/>
            <w:shd w:val="clear" w:color="auto" w:fill="auto"/>
          </w:tcPr>
          <w:p w:rsidR="00DA333A" w:rsidRDefault="00DA333A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1 169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1 169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1 169</w:t>
            </w:r>
          </w:p>
        </w:tc>
      </w:tr>
      <w:tr w:rsidR="00DA333A">
        <w:trPr>
          <w:trHeight w:val="20"/>
        </w:trPr>
        <w:tc>
          <w:tcPr>
            <w:tcW w:w="404" w:type="dxa"/>
            <w:vMerge/>
            <w:shd w:val="clear" w:color="auto" w:fill="auto"/>
          </w:tcPr>
          <w:p w:rsidR="00DA333A" w:rsidRDefault="00DA333A"/>
        </w:tc>
        <w:tc>
          <w:tcPr>
            <w:tcW w:w="3419" w:type="dxa"/>
            <w:vMerge/>
            <w:shd w:val="clear" w:color="auto" w:fill="auto"/>
          </w:tcPr>
          <w:p w:rsidR="00DA333A" w:rsidRDefault="00DA333A"/>
        </w:tc>
        <w:tc>
          <w:tcPr>
            <w:tcW w:w="4819" w:type="dxa"/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социокультурных акциях </w:t>
            </w:r>
            <w:r>
              <w:rPr>
                <w:sz w:val="24"/>
                <w:szCs w:val="24"/>
              </w:rPr>
              <w:br/>
              <w:t>по сохранению традиций семьи Дягилевых («Ученик и мастер», «Дягилевские четверги», «Музыкальные вечера в Доме Дягилева»)</w:t>
            </w:r>
          </w:p>
        </w:tc>
        <w:tc>
          <w:tcPr>
            <w:tcW w:w="1956" w:type="dxa"/>
            <w:vMerge/>
            <w:shd w:val="clear" w:color="auto" w:fill="auto"/>
          </w:tcPr>
          <w:p w:rsidR="00DA333A" w:rsidRDefault="00DA333A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</w:tr>
      <w:tr w:rsidR="00DA333A">
        <w:trPr>
          <w:trHeight w:val="20"/>
        </w:trPr>
        <w:tc>
          <w:tcPr>
            <w:tcW w:w="404" w:type="dxa"/>
            <w:vMerge/>
            <w:shd w:val="clear" w:color="auto" w:fill="auto"/>
          </w:tcPr>
          <w:p w:rsidR="00DA333A" w:rsidRDefault="00DA333A"/>
        </w:tc>
        <w:tc>
          <w:tcPr>
            <w:tcW w:w="3419" w:type="dxa"/>
            <w:vMerge/>
            <w:shd w:val="clear" w:color="auto" w:fill="auto"/>
          </w:tcPr>
          <w:p w:rsidR="00DA333A" w:rsidRDefault="00DA333A"/>
        </w:tc>
        <w:tc>
          <w:tcPr>
            <w:tcW w:w="4819" w:type="dxa"/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конференций, создание творческих проектов (подготовка информационных материалов, научных статей, мультимедийных презентаций, цифровых образовательных ресурсов)</w:t>
            </w:r>
          </w:p>
        </w:tc>
        <w:tc>
          <w:tcPr>
            <w:tcW w:w="1956" w:type="dxa"/>
            <w:vMerge/>
            <w:shd w:val="clear" w:color="auto" w:fill="auto"/>
          </w:tcPr>
          <w:p w:rsidR="00DA333A" w:rsidRDefault="00DA333A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2 194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2 194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2 194</w:t>
            </w:r>
          </w:p>
        </w:tc>
      </w:tr>
      <w:tr w:rsidR="00DA333A">
        <w:trPr>
          <w:trHeight w:val="20"/>
        </w:trPr>
        <w:tc>
          <w:tcPr>
            <w:tcW w:w="404" w:type="dxa"/>
            <w:vMerge/>
            <w:shd w:val="clear" w:color="auto" w:fill="auto"/>
          </w:tcPr>
          <w:p w:rsidR="00DA333A" w:rsidRDefault="00DA333A"/>
        </w:tc>
        <w:tc>
          <w:tcPr>
            <w:tcW w:w="3419" w:type="dxa"/>
            <w:vMerge/>
            <w:shd w:val="clear" w:color="auto" w:fill="auto"/>
          </w:tcPr>
          <w:p w:rsidR="00DA333A" w:rsidRDefault="00DA333A"/>
        </w:tc>
        <w:tc>
          <w:tcPr>
            <w:tcW w:w="4819" w:type="dxa"/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при подготовке учащимися групповых и индивидуальных социокультурных проектов (хореография, театр, исследования)</w:t>
            </w:r>
          </w:p>
        </w:tc>
        <w:tc>
          <w:tcPr>
            <w:tcW w:w="1956" w:type="dxa"/>
            <w:vMerge/>
            <w:shd w:val="clear" w:color="auto" w:fill="auto"/>
          </w:tcPr>
          <w:p w:rsidR="00DA333A" w:rsidRDefault="00DA333A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</w:tr>
      <w:tr w:rsidR="00DA333A">
        <w:trPr>
          <w:trHeight w:val="20"/>
        </w:trPr>
        <w:tc>
          <w:tcPr>
            <w:tcW w:w="10598" w:type="dxa"/>
            <w:gridSpan w:val="4"/>
            <w:shd w:val="clear" w:color="auto" w:fill="auto"/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количество часов на проведение мероприятий по сохранению и использованию музея «Дом Дягилева»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6 813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6 813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6 813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A333A">
        <w:trPr>
          <w:trHeight w:val="20"/>
        </w:trPr>
        <w:tc>
          <w:tcPr>
            <w:tcW w:w="404" w:type="dxa"/>
            <w:shd w:val="clear" w:color="auto" w:fill="auto"/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9" w:type="dxa"/>
            <w:shd w:val="clear" w:color="auto" w:fill="auto"/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sz w:val="24"/>
                <w:szCs w:val="24"/>
              </w:rPr>
              <w:br/>
              <w:t xml:space="preserve">«Гимназия № 11 </w:t>
            </w:r>
            <w:r>
              <w:rPr>
                <w:sz w:val="24"/>
                <w:szCs w:val="24"/>
              </w:rPr>
              <w:br/>
              <w:t>им. С.П. Дягилева» г. Перми</w:t>
            </w:r>
          </w:p>
        </w:tc>
        <w:tc>
          <w:tcPr>
            <w:tcW w:w="4819" w:type="dxa"/>
          </w:tcPr>
          <w:p w:rsidR="00DA333A" w:rsidRDefault="00FF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D738B">
              <w:rPr>
                <w:sz w:val="24"/>
                <w:szCs w:val="24"/>
              </w:rPr>
              <w:t>ероприятия по сохранению и использованию музея «Дом Дягилева»</w:t>
            </w:r>
          </w:p>
        </w:tc>
        <w:tc>
          <w:tcPr>
            <w:tcW w:w="1956" w:type="dxa"/>
            <w:shd w:val="clear" w:color="auto" w:fill="auto"/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учащихся, участвующих в проведении мероприятий по сохранению и использованию музея «Дом Дягилева»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</w:tr>
      <w:tr w:rsidR="00DA333A">
        <w:trPr>
          <w:trHeight w:val="20"/>
        </w:trPr>
        <w:tc>
          <w:tcPr>
            <w:tcW w:w="10598" w:type="dxa"/>
            <w:gridSpan w:val="4"/>
            <w:shd w:val="clear" w:color="auto" w:fill="auto"/>
          </w:tcPr>
          <w:p w:rsidR="00DA333A" w:rsidRDefault="001D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количество учащихся, участвующих в проведении мероприятий по сохранению </w:t>
            </w:r>
            <w:r>
              <w:rPr>
                <w:sz w:val="24"/>
                <w:szCs w:val="24"/>
              </w:rPr>
              <w:br/>
              <w:t>и использованию музея «Дом Дягилева»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1402" w:type="dxa"/>
            <w:shd w:val="clear" w:color="auto" w:fill="auto"/>
          </w:tcPr>
          <w:p w:rsidR="00DA333A" w:rsidRDefault="001D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</w:tr>
    </w:tbl>
    <w:p w:rsidR="00DA333A" w:rsidRDefault="00DA333A">
      <w:pPr>
        <w:spacing w:line="240" w:lineRule="exact"/>
        <w:rPr>
          <w:sz w:val="24"/>
          <w:szCs w:val="24"/>
        </w:rPr>
      </w:pPr>
    </w:p>
    <w:sectPr w:rsidR="00DA333A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3B" w:rsidRDefault="0047293B">
      <w:r>
        <w:separator/>
      </w:r>
    </w:p>
  </w:endnote>
  <w:endnote w:type="continuationSeparator" w:id="0">
    <w:p w:rsidR="0047293B" w:rsidRDefault="0047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3A" w:rsidRDefault="00DA333A">
    <w:pPr>
      <w:pStyle w:val="af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3A" w:rsidRDefault="00DA333A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3A" w:rsidRDefault="00DA333A">
    <w:pPr>
      <w:pStyle w:val="af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3B" w:rsidRDefault="0047293B">
      <w:r>
        <w:separator/>
      </w:r>
    </w:p>
  </w:footnote>
  <w:footnote w:type="continuationSeparator" w:id="0">
    <w:p w:rsidR="0047293B" w:rsidRDefault="0047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3A" w:rsidRDefault="001D738B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A333A" w:rsidRDefault="00DA333A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3A" w:rsidRDefault="001D738B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453631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3A" w:rsidRDefault="00DA333A">
    <w:pPr>
      <w:pStyle w:val="af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3A" w:rsidRDefault="001D738B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A333A" w:rsidRDefault="00DA333A">
    <w:pPr>
      <w:pStyle w:val="af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3A" w:rsidRDefault="001D738B">
    <w:pPr>
      <w:pStyle w:val="afb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45363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A333A" w:rsidRDefault="00DA333A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4518"/>
    <w:multiLevelType w:val="hybridMultilevel"/>
    <w:tmpl w:val="CDF4ACCC"/>
    <w:lvl w:ilvl="0" w:tplc="7D40A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12FBD4">
      <w:start w:val="1"/>
      <w:numFmt w:val="lowerLetter"/>
      <w:lvlText w:val="%2."/>
      <w:lvlJc w:val="left"/>
      <w:pPr>
        <w:ind w:left="1789" w:hanging="360"/>
      </w:pPr>
    </w:lvl>
    <w:lvl w:ilvl="2" w:tplc="7832A4A4">
      <w:start w:val="1"/>
      <w:numFmt w:val="lowerRoman"/>
      <w:lvlText w:val="%3."/>
      <w:lvlJc w:val="right"/>
      <w:pPr>
        <w:ind w:left="2509" w:hanging="180"/>
      </w:pPr>
    </w:lvl>
    <w:lvl w:ilvl="3" w:tplc="C9461728">
      <w:start w:val="1"/>
      <w:numFmt w:val="decimal"/>
      <w:lvlText w:val="%4."/>
      <w:lvlJc w:val="left"/>
      <w:pPr>
        <w:ind w:left="3229" w:hanging="360"/>
      </w:pPr>
    </w:lvl>
    <w:lvl w:ilvl="4" w:tplc="9F1A3F2C">
      <w:start w:val="1"/>
      <w:numFmt w:val="lowerLetter"/>
      <w:lvlText w:val="%5."/>
      <w:lvlJc w:val="left"/>
      <w:pPr>
        <w:ind w:left="3949" w:hanging="360"/>
      </w:pPr>
    </w:lvl>
    <w:lvl w:ilvl="5" w:tplc="F1CA58D2">
      <w:start w:val="1"/>
      <w:numFmt w:val="lowerRoman"/>
      <w:lvlText w:val="%6."/>
      <w:lvlJc w:val="right"/>
      <w:pPr>
        <w:ind w:left="4669" w:hanging="180"/>
      </w:pPr>
    </w:lvl>
    <w:lvl w:ilvl="6" w:tplc="DEF4EDAE">
      <w:start w:val="1"/>
      <w:numFmt w:val="decimal"/>
      <w:lvlText w:val="%7."/>
      <w:lvlJc w:val="left"/>
      <w:pPr>
        <w:ind w:left="5389" w:hanging="360"/>
      </w:pPr>
    </w:lvl>
    <w:lvl w:ilvl="7" w:tplc="E9088B18">
      <w:start w:val="1"/>
      <w:numFmt w:val="lowerLetter"/>
      <w:lvlText w:val="%8."/>
      <w:lvlJc w:val="left"/>
      <w:pPr>
        <w:ind w:left="6109" w:hanging="360"/>
      </w:pPr>
    </w:lvl>
    <w:lvl w:ilvl="8" w:tplc="8648F5C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41981"/>
    <w:multiLevelType w:val="hybridMultilevel"/>
    <w:tmpl w:val="655E3008"/>
    <w:lvl w:ilvl="0" w:tplc="F47E30DC">
      <w:start w:val="1"/>
      <w:numFmt w:val="decimal"/>
      <w:lvlText w:val="%1."/>
      <w:lvlJc w:val="left"/>
      <w:pPr>
        <w:ind w:left="786" w:hanging="360"/>
      </w:pPr>
    </w:lvl>
    <w:lvl w:ilvl="1" w:tplc="EEEEA272">
      <w:start w:val="1"/>
      <w:numFmt w:val="lowerLetter"/>
      <w:lvlText w:val="%2."/>
      <w:lvlJc w:val="left"/>
      <w:pPr>
        <w:ind w:left="1440" w:hanging="360"/>
      </w:pPr>
    </w:lvl>
    <w:lvl w:ilvl="2" w:tplc="854663C0">
      <w:start w:val="1"/>
      <w:numFmt w:val="lowerRoman"/>
      <w:lvlText w:val="%3."/>
      <w:lvlJc w:val="right"/>
      <w:pPr>
        <w:ind w:left="2160" w:hanging="180"/>
      </w:pPr>
    </w:lvl>
    <w:lvl w:ilvl="3" w:tplc="15164C46">
      <w:start w:val="1"/>
      <w:numFmt w:val="decimal"/>
      <w:lvlText w:val="%4."/>
      <w:lvlJc w:val="left"/>
      <w:pPr>
        <w:ind w:left="2880" w:hanging="360"/>
      </w:pPr>
    </w:lvl>
    <w:lvl w:ilvl="4" w:tplc="7F7AD632">
      <w:start w:val="1"/>
      <w:numFmt w:val="lowerLetter"/>
      <w:lvlText w:val="%5."/>
      <w:lvlJc w:val="left"/>
      <w:pPr>
        <w:ind w:left="3600" w:hanging="360"/>
      </w:pPr>
    </w:lvl>
    <w:lvl w:ilvl="5" w:tplc="BE64A5E6">
      <w:start w:val="1"/>
      <w:numFmt w:val="lowerRoman"/>
      <w:lvlText w:val="%6."/>
      <w:lvlJc w:val="right"/>
      <w:pPr>
        <w:ind w:left="4320" w:hanging="180"/>
      </w:pPr>
    </w:lvl>
    <w:lvl w:ilvl="6" w:tplc="DC30E018">
      <w:start w:val="1"/>
      <w:numFmt w:val="decimal"/>
      <w:lvlText w:val="%7."/>
      <w:lvlJc w:val="left"/>
      <w:pPr>
        <w:ind w:left="5040" w:hanging="360"/>
      </w:pPr>
    </w:lvl>
    <w:lvl w:ilvl="7" w:tplc="99362302">
      <w:start w:val="1"/>
      <w:numFmt w:val="lowerLetter"/>
      <w:lvlText w:val="%8."/>
      <w:lvlJc w:val="left"/>
      <w:pPr>
        <w:ind w:left="5760" w:hanging="360"/>
      </w:pPr>
    </w:lvl>
    <w:lvl w:ilvl="8" w:tplc="8B5A5D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3A"/>
    <w:rsid w:val="001D738B"/>
    <w:rsid w:val="00453631"/>
    <w:rsid w:val="0047293B"/>
    <w:rsid w:val="00713AF6"/>
    <w:rsid w:val="00984660"/>
    <w:rsid w:val="00DA333A"/>
    <w:rsid w:val="00EE36E6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58FEA-383F-4F72-A05C-ADEFA2C0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3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4">
    <w:name w:val="Body Text"/>
    <w:basedOn w:val="a"/>
    <w:link w:val="af5"/>
    <w:pPr>
      <w:ind w:right="3117"/>
    </w:pPr>
    <w:rPr>
      <w:rFonts w:ascii="Courier New" w:hAnsi="Courier New"/>
      <w:sz w:val="26"/>
    </w:rPr>
  </w:style>
  <w:style w:type="character" w:customStyle="1" w:styleId="af5">
    <w:name w:val="Основной текст Знак"/>
    <w:link w:val="af4"/>
    <w:rPr>
      <w:rFonts w:ascii="Courier New" w:hAnsi="Courier New"/>
      <w:sz w:val="26"/>
    </w:rPr>
  </w:style>
  <w:style w:type="paragraph" w:styleId="af6">
    <w:name w:val="Body Text Indent"/>
    <w:basedOn w:val="a"/>
    <w:link w:val="af7"/>
    <w:pPr>
      <w:ind w:right="-1"/>
      <w:jc w:val="both"/>
    </w:pPr>
    <w:rPr>
      <w:sz w:val="26"/>
    </w:rPr>
  </w:style>
  <w:style w:type="character" w:customStyle="1" w:styleId="af7">
    <w:name w:val="Основной текст с отступом Знак"/>
    <w:link w:val="af6"/>
    <w:rPr>
      <w:sz w:val="26"/>
    </w:rPr>
  </w:style>
  <w:style w:type="paragraph" w:styleId="af8">
    <w:name w:val="foot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10.pn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openxmlformats.org/officeDocument/2006/relationships/hyperlink" Target="consultantplus://offline/ref=16B171137A232FF8DD3A1940F9F5F2A769EBCB30413C18EEB3F0D7A4A530C95C62EE583BAE951696DAE435D1A5C9GC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22" Type="http://schemas.openxmlformats.org/officeDocument/2006/relationships/header" Target="header2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4131-A8B2-4F2F-B3F1-C99F4716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2023-09-20T06:47:00Z</cp:lastPrinted>
  <dcterms:created xsi:type="dcterms:W3CDTF">2023-09-20T06:47:00Z</dcterms:created>
  <dcterms:modified xsi:type="dcterms:W3CDTF">2023-09-20T06:47:00Z</dcterms:modified>
</cp:coreProperties>
</file>