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13" w:rsidRDefault="006D0E4E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91413" w:rsidRDefault="006D0E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91413" w:rsidRDefault="006D0E4E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91413" w:rsidRDefault="006D0E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91413" w:rsidRDefault="00B9141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91413" w:rsidRDefault="00B9141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91413" w:rsidRDefault="001673A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B91413" w:rsidRDefault="00B91413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91413" w:rsidRDefault="001673A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862</w:t>
                              </w:r>
                            </w:p>
                            <w:p w:rsidR="00B91413" w:rsidRDefault="00B9141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91413" w:rsidRDefault="006D0E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91413" w:rsidRDefault="006D0E4E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91413" w:rsidRDefault="006D0E4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91413" w:rsidRDefault="00B9141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91413" w:rsidRDefault="00B9141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91413" w:rsidRDefault="001673A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B91413" w:rsidRDefault="00B91413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91413" w:rsidRDefault="001673A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862</w:t>
                        </w:r>
                      </w:p>
                      <w:p w:rsidR="00B91413" w:rsidRDefault="00B91413"/>
                    </w:txbxContent>
                  </v:textbox>
                </v:shape>
              </v:group>
            </w:pict>
          </mc:Fallback>
        </mc:AlternateContent>
      </w:r>
    </w:p>
    <w:p w:rsidR="00B91413" w:rsidRDefault="00B9141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91413" w:rsidRDefault="00B91413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91413" w:rsidRDefault="00B91413">
      <w:pPr>
        <w:jc w:val="both"/>
        <w:rPr>
          <w:sz w:val="24"/>
          <w:lang w:val="en-US"/>
        </w:rPr>
      </w:pPr>
    </w:p>
    <w:p w:rsidR="00B91413" w:rsidRDefault="00B91413">
      <w:pPr>
        <w:jc w:val="both"/>
        <w:rPr>
          <w:sz w:val="24"/>
        </w:rPr>
      </w:pPr>
    </w:p>
    <w:p w:rsidR="00B91413" w:rsidRDefault="00B91413">
      <w:pPr>
        <w:jc w:val="both"/>
        <w:rPr>
          <w:sz w:val="24"/>
        </w:rPr>
      </w:pPr>
    </w:p>
    <w:p w:rsidR="00B91413" w:rsidRDefault="00B91413">
      <w:pPr>
        <w:pStyle w:val="aff1"/>
        <w:spacing w:line="240" w:lineRule="exact"/>
        <w:rPr>
          <w:b/>
        </w:rPr>
      </w:pPr>
    </w:p>
    <w:p w:rsidR="00B91413" w:rsidRDefault="00B91413">
      <w:pPr>
        <w:pStyle w:val="aff1"/>
        <w:spacing w:line="240" w:lineRule="exact"/>
      </w:pPr>
    </w:p>
    <w:p w:rsidR="00B91413" w:rsidRDefault="006D0E4E">
      <w:pPr>
        <w:pStyle w:val="ConsPlusTitle"/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в приложение 2 </w:t>
      </w:r>
    </w:p>
    <w:p w:rsidR="00B91413" w:rsidRDefault="006D0E4E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 Порядку определения объема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условий 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утвержденному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>от 20.10.2020 № 1060</w:t>
      </w:r>
    </w:p>
    <w:p w:rsidR="00B91413" w:rsidRDefault="00B91413">
      <w:pPr>
        <w:pStyle w:val="aff1"/>
        <w:spacing w:line="240" w:lineRule="exact"/>
      </w:pPr>
    </w:p>
    <w:p w:rsidR="00B91413" w:rsidRDefault="00B91413">
      <w:pPr>
        <w:pStyle w:val="aff1"/>
        <w:spacing w:line="240" w:lineRule="exact"/>
      </w:pPr>
    </w:p>
    <w:p w:rsidR="00B91413" w:rsidRDefault="00B91413">
      <w:pPr>
        <w:ind w:firstLine="720"/>
        <w:jc w:val="both"/>
        <w:rPr>
          <w:sz w:val="28"/>
          <w:szCs w:val="28"/>
        </w:rPr>
      </w:pPr>
    </w:p>
    <w:p w:rsidR="00B91413" w:rsidRDefault="006D0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1 статьи 78.1 Бюджетного</w:t>
      </w:r>
      <w:r>
        <w:rPr>
          <w:sz w:val="28"/>
          <w:szCs w:val="28"/>
        </w:rPr>
        <w:t xml:space="preserve">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</w:t>
      </w:r>
      <w:r>
        <w:rPr>
          <w:sz w:val="28"/>
          <w:szCs w:val="28"/>
        </w:rPr>
        <w:t>ения бюджетным и автономным учреждениям субсидий на иные цели»</w:t>
      </w:r>
    </w:p>
    <w:p w:rsidR="00B91413" w:rsidRDefault="006D0E4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91413" w:rsidRDefault="006D0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</w:t>
      </w:r>
      <w:r>
        <w:rPr>
          <w:sz w:val="28"/>
          <w:szCs w:val="28"/>
        </w:rPr>
        <w:br/>
        <w:t>и условий предоставления субсидий на дополнительные меры поддержки муниципальным учрежд</w:t>
      </w:r>
      <w:r>
        <w:rPr>
          <w:sz w:val="28"/>
          <w:szCs w:val="28"/>
        </w:rPr>
        <w:t xml:space="preserve">ениям города Перми на обеспечение участия </w:t>
      </w:r>
      <w:r>
        <w:rPr>
          <w:sz w:val="28"/>
          <w:szCs w:val="28"/>
        </w:rPr>
        <w:br/>
        <w:t xml:space="preserve">в официальных спортивных соревнованиях, проводимых за пределами города Перми, утвержденному постановлением администрации города Перми </w:t>
      </w:r>
      <w:r>
        <w:rPr>
          <w:sz w:val="28"/>
          <w:szCs w:val="28"/>
        </w:rPr>
        <w:br/>
        <w:t>от 20 октября 2020 г. № 1060 (в ред. от 12.04.2021 № 245, от 06.09.2021 № 684,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18.10.2021 № 884, от 29.10.2021 № 966, от 13.04.2022 № 277, от 15.08.2022 </w:t>
      </w:r>
      <w:r>
        <w:rPr>
          <w:sz w:val="28"/>
          <w:szCs w:val="28"/>
        </w:rPr>
        <w:br/>
        <w:t xml:space="preserve">№ 686, от 19.10.2022 № 984, от 21.10.2022 № 1054, от 30.12.2022 № 1425, </w:t>
      </w:r>
      <w:r>
        <w:rPr>
          <w:sz w:val="28"/>
          <w:szCs w:val="28"/>
        </w:rPr>
        <w:br/>
        <w:t xml:space="preserve">от 30.05.2023 № 432, от 09.08.2023 № 684, от 16.08.2023 № 709), изложив </w:t>
      </w:r>
      <w:r>
        <w:rPr>
          <w:sz w:val="28"/>
          <w:szCs w:val="28"/>
        </w:rPr>
        <w:br/>
        <w:t xml:space="preserve">в редакции согласно </w:t>
      </w:r>
      <w:hyperlink r:id="rId9" w:history="1">
        <w:r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постановлению. </w:t>
      </w:r>
    </w:p>
    <w:p w:rsidR="00B91413" w:rsidRDefault="006D0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</w:t>
      </w:r>
      <w:r>
        <w:rPr>
          <w:sz w:val="28"/>
          <w:szCs w:val="28"/>
        </w:rPr>
        <w:t>ормации «Официальный бюллетень органов местного самоуправления муниципального образования город Пермь».</w:t>
      </w:r>
    </w:p>
    <w:p w:rsidR="00B91413" w:rsidRDefault="006D0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</w:t>
      </w:r>
      <w:r>
        <w:rPr>
          <w:sz w:val="28"/>
          <w:szCs w:val="28"/>
        </w:rPr>
        <w:t xml:space="preserve">ициальный бюллетень органов местного самоуправления муниципального образования город Пермь». </w:t>
      </w:r>
    </w:p>
    <w:p w:rsidR="00B91413" w:rsidRDefault="006D0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lastRenderedPageBreak/>
        <w:t>на официальном сайте муни</w:t>
      </w:r>
      <w:r>
        <w:rPr>
          <w:sz w:val="28"/>
          <w:szCs w:val="28"/>
        </w:rPr>
        <w:t xml:space="preserve">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B91413" w:rsidRDefault="006D0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исполняющего обязанности заместителя главы администрации города Перми Овсянникову Ю.А.</w:t>
      </w:r>
    </w:p>
    <w:p w:rsidR="00B91413" w:rsidRDefault="00B91413">
      <w:pPr>
        <w:spacing w:line="240" w:lineRule="exact"/>
        <w:jc w:val="both"/>
        <w:rPr>
          <w:sz w:val="28"/>
          <w:szCs w:val="28"/>
        </w:rPr>
      </w:pPr>
    </w:p>
    <w:p w:rsidR="00B91413" w:rsidRDefault="00B91413">
      <w:pPr>
        <w:spacing w:line="240" w:lineRule="exact"/>
        <w:jc w:val="both"/>
        <w:rPr>
          <w:sz w:val="28"/>
          <w:szCs w:val="28"/>
        </w:rPr>
      </w:pPr>
    </w:p>
    <w:p w:rsidR="00B91413" w:rsidRDefault="00B91413">
      <w:pPr>
        <w:spacing w:line="240" w:lineRule="exact"/>
        <w:jc w:val="both"/>
        <w:rPr>
          <w:sz w:val="28"/>
          <w:szCs w:val="28"/>
        </w:rPr>
      </w:pPr>
    </w:p>
    <w:p w:rsidR="00B91413" w:rsidRDefault="006D0E4E">
      <w:pPr>
        <w:pStyle w:val="afa"/>
        <w:tabs>
          <w:tab w:val="left" w:pos="8364"/>
        </w:tabs>
        <w:spacing w:line="240" w:lineRule="exact"/>
        <w:ind w:right="0"/>
        <w:rPr>
          <w:sz w:val="28"/>
          <w:szCs w:val="28"/>
          <w:lang w:val="ru-RU"/>
        </w:rPr>
      </w:pPr>
      <w:r w:rsidRPr="001673AB">
        <w:rPr>
          <w:rFonts w:ascii="Times New Roman" w:hAnsi="Times New Roman"/>
          <w:sz w:val="28"/>
          <w:szCs w:val="28"/>
          <w:lang w:val="ru-RU"/>
        </w:rPr>
        <w:t>Глава города</w:t>
      </w:r>
      <w:r w:rsidRPr="001673AB">
        <w:rPr>
          <w:rFonts w:ascii="Times New Roman" w:hAnsi="Times New Roman"/>
          <w:sz w:val="28"/>
          <w:szCs w:val="28"/>
          <w:lang w:val="ru-RU"/>
        </w:rPr>
        <w:t xml:space="preserve"> Перми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B91413" w:rsidRDefault="00B91413">
      <w:pPr>
        <w:pStyle w:val="ConsPlusNormal"/>
        <w:spacing w:line="240" w:lineRule="exact"/>
        <w:outlineLvl w:val="1"/>
      </w:pPr>
    </w:p>
    <w:p w:rsidR="00B91413" w:rsidRDefault="00B91413">
      <w:pPr>
        <w:spacing w:line="240" w:lineRule="exact"/>
        <w:contextualSpacing/>
        <w:outlineLvl w:val="0"/>
        <w:rPr>
          <w:sz w:val="28"/>
          <w:szCs w:val="28"/>
        </w:rPr>
        <w:sectPr w:rsidR="00B91413">
          <w:headerReference w:type="default" r:id="rId10"/>
          <w:pgSz w:w="11906" w:h="16838"/>
          <w:pgMar w:top="1134" w:right="567" w:bottom="1134" w:left="1417" w:header="363" w:footer="709" w:gutter="0"/>
          <w:pgNumType w:start="1"/>
          <w:cols w:space="708"/>
          <w:titlePg/>
          <w:docGrid w:linePitch="360"/>
        </w:sectPr>
      </w:pPr>
    </w:p>
    <w:p w:rsidR="00B91413" w:rsidRDefault="006D0E4E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1413" w:rsidRDefault="006D0E4E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1413" w:rsidRDefault="006D0E4E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B91413" w:rsidRDefault="006D0E4E">
      <w:pPr>
        <w:spacing w:line="240" w:lineRule="exact"/>
        <w:ind w:left="567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73AB">
        <w:rPr>
          <w:sz w:val="28"/>
          <w:szCs w:val="28"/>
        </w:rPr>
        <w:t>20.09.2023 № 862</w:t>
      </w:r>
      <w:bookmarkStart w:id="0" w:name="_GoBack"/>
      <w:bookmarkEnd w:id="0"/>
    </w:p>
    <w:p w:rsidR="00B91413" w:rsidRDefault="00B91413">
      <w:pPr>
        <w:spacing w:line="240" w:lineRule="exact"/>
        <w:contextualSpacing/>
        <w:outlineLvl w:val="0"/>
        <w:rPr>
          <w:sz w:val="28"/>
          <w:szCs w:val="28"/>
        </w:rPr>
      </w:pPr>
    </w:p>
    <w:p w:rsidR="00B91413" w:rsidRDefault="00B91413">
      <w:pPr>
        <w:spacing w:line="240" w:lineRule="exact"/>
        <w:rPr>
          <w:sz w:val="28"/>
          <w:szCs w:val="28"/>
        </w:rPr>
      </w:pPr>
    </w:p>
    <w:p w:rsidR="00B91413" w:rsidRDefault="00B91413">
      <w:pPr>
        <w:pStyle w:val="ConsPlusNormal"/>
        <w:spacing w:line="240" w:lineRule="exact"/>
        <w:jc w:val="both"/>
      </w:pPr>
    </w:p>
    <w:p w:rsidR="00B91413" w:rsidRDefault="006D0E4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СУБСИДИЙ</w:t>
      </w:r>
    </w:p>
    <w:p w:rsidR="00B91413" w:rsidRDefault="006D0E4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дополнительные меры поддержки на обеспечение участия</w:t>
      </w:r>
    </w:p>
    <w:p w:rsidR="00B91413" w:rsidRDefault="006D0E4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соревнованиях, проводимых за пределами </w:t>
      </w:r>
    </w:p>
    <w:p w:rsidR="00B91413" w:rsidRDefault="006D0E4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Перми, на 2023 год и плановый период 2024 и 2025 годов</w:t>
      </w:r>
    </w:p>
    <w:p w:rsidR="00B91413" w:rsidRDefault="00B91413">
      <w:pPr>
        <w:spacing w:after="1"/>
      </w:pP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62"/>
        <w:gridCol w:w="1783"/>
        <w:gridCol w:w="1714"/>
        <w:gridCol w:w="1468"/>
      </w:tblGrid>
      <w:tr w:rsidR="00B91413">
        <w:tc>
          <w:tcPr>
            <w:tcW w:w="548" w:type="dxa"/>
            <w:vMerge w:val="restart"/>
          </w:tcPr>
          <w:p w:rsidR="00B91413" w:rsidRDefault="006D0E4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264" w:type="dxa"/>
            <w:vMerge w:val="restart"/>
          </w:tcPr>
          <w:p w:rsidR="00B91413" w:rsidRDefault="006D0E4E">
            <w:pPr>
              <w:pStyle w:val="ConsPlusNormal"/>
              <w:jc w:val="center"/>
            </w:pPr>
            <w:r>
              <w:t>Наименование муниципального учреждения города Перми</w:t>
            </w:r>
          </w:p>
        </w:tc>
        <w:tc>
          <w:tcPr>
            <w:tcW w:w="5075" w:type="dxa"/>
            <w:gridSpan w:val="3"/>
          </w:tcPr>
          <w:p w:rsidR="00B91413" w:rsidRDefault="006D0E4E">
            <w:pPr>
              <w:pStyle w:val="ConsPlusNormal"/>
              <w:jc w:val="center"/>
            </w:pPr>
            <w:r>
              <w:t>Расчетные показатели, тыс. руб.</w:t>
            </w:r>
          </w:p>
        </w:tc>
      </w:tr>
      <w:tr w:rsidR="00B91413">
        <w:tc>
          <w:tcPr>
            <w:tcW w:w="548" w:type="dxa"/>
            <w:vMerge/>
          </w:tcPr>
          <w:p w:rsidR="00B91413" w:rsidRDefault="00B91413"/>
        </w:tc>
        <w:tc>
          <w:tcPr>
            <w:tcW w:w="4264" w:type="dxa"/>
            <w:vMerge/>
          </w:tcPr>
          <w:p w:rsidR="00B91413" w:rsidRDefault="00B91413"/>
        </w:tc>
        <w:tc>
          <w:tcPr>
            <w:tcW w:w="1823" w:type="dxa"/>
          </w:tcPr>
          <w:p w:rsidR="00B91413" w:rsidRDefault="006D0E4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52" w:type="dxa"/>
          </w:tcPr>
          <w:p w:rsidR="00B91413" w:rsidRDefault="006D0E4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0" w:type="dxa"/>
          </w:tcPr>
          <w:p w:rsidR="00B91413" w:rsidRDefault="006D0E4E">
            <w:pPr>
              <w:pStyle w:val="ConsPlusNormal"/>
              <w:jc w:val="center"/>
            </w:pPr>
            <w:r>
              <w:t>2025 год</w:t>
            </w:r>
          </w:p>
        </w:tc>
      </w:tr>
      <w:tr w:rsidR="00B91413">
        <w:tc>
          <w:tcPr>
            <w:tcW w:w="548" w:type="dxa"/>
          </w:tcPr>
          <w:p w:rsidR="00B91413" w:rsidRDefault="006D0E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4" w:type="dxa"/>
          </w:tcPr>
          <w:p w:rsidR="00B91413" w:rsidRDefault="006D0E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23" w:type="dxa"/>
            <w:vAlign w:val="center"/>
          </w:tcPr>
          <w:p w:rsidR="00B91413" w:rsidRDefault="006D0E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2" w:type="dxa"/>
            <w:vAlign w:val="center"/>
          </w:tcPr>
          <w:p w:rsidR="00B91413" w:rsidRDefault="006D0E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0" w:type="dxa"/>
            <w:vAlign w:val="center"/>
          </w:tcPr>
          <w:p w:rsidR="00B91413" w:rsidRDefault="006D0E4E">
            <w:pPr>
              <w:pStyle w:val="ConsPlusNormal"/>
              <w:jc w:val="center"/>
            </w:pPr>
            <w:r>
              <w:t>5</w:t>
            </w:r>
          </w:p>
        </w:tc>
      </w:tr>
      <w:tr w:rsidR="00B91413">
        <w:tc>
          <w:tcPr>
            <w:tcW w:w="548" w:type="dxa"/>
            <w:tcBorders>
              <w:bottom w:val="none" w:sz="4" w:space="0" w:color="000000"/>
            </w:tcBorders>
          </w:tcPr>
          <w:p w:rsidR="00B91413" w:rsidRDefault="006D0E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64" w:type="dxa"/>
            <w:tcBorders>
              <w:bottom w:val="none" w:sz="4" w:space="0" w:color="000000"/>
            </w:tcBorders>
          </w:tcPr>
          <w:p w:rsidR="00B91413" w:rsidRDefault="006D0E4E">
            <w:pPr>
              <w:pStyle w:val="ConsPlusNormal"/>
            </w:pPr>
            <w:r>
              <w:t>Муниципальное автономное учреждение дополнительного образования «Спортивная школа по баскетболу «Урал-Грейт-Юниор» г. Перми</w:t>
            </w:r>
          </w:p>
        </w:tc>
        <w:tc>
          <w:tcPr>
            <w:tcW w:w="1823" w:type="dxa"/>
            <w:tcBorders>
              <w:bottom w:val="none" w:sz="4" w:space="0" w:color="000000"/>
            </w:tcBorders>
          </w:tcPr>
          <w:p w:rsidR="00B91413" w:rsidRDefault="006D0E4E">
            <w:pPr>
              <w:pStyle w:val="ConsPlusNormal"/>
              <w:jc w:val="center"/>
            </w:pPr>
            <w:r>
              <w:t>4</w:t>
            </w:r>
            <w:r>
              <w:t> 500,000</w:t>
            </w:r>
          </w:p>
        </w:tc>
        <w:tc>
          <w:tcPr>
            <w:tcW w:w="1752" w:type="dxa"/>
            <w:tcBorders>
              <w:bottom w:val="none" w:sz="4" w:space="0" w:color="000000"/>
            </w:tcBorders>
          </w:tcPr>
          <w:p w:rsidR="00B91413" w:rsidRDefault="006D0E4E">
            <w:pPr>
              <w:pStyle w:val="ConsPlusNormal"/>
              <w:jc w:val="center"/>
            </w:pPr>
            <w:r>
              <w:t>1 500,000</w:t>
            </w:r>
          </w:p>
        </w:tc>
        <w:tc>
          <w:tcPr>
            <w:tcW w:w="1500" w:type="dxa"/>
            <w:tcBorders>
              <w:bottom w:val="none" w:sz="4" w:space="0" w:color="000000"/>
            </w:tcBorders>
          </w:tcPr>
          <w:p w:rsidR="00B91413" w:rsidRDefault="006D0E4E">
            <w:pPr>
              <w:pStyle w:val="ConsPlusNormal"/>
              <w:jc w:val="center"/>
            </w:pPr>
            <w:r>
              <w:t>1 500,000</w:t>
            </w:r>
          </w:p>
        </w:tc>
      </w:tr>
      <w:tr w:rsidR="00B91413">
        <w:tc>
          <w:tcPr>
            <w:tcW w:w="548" w:type="dxa"/>
          </w:tcPr>
          <w:p w:rsidR="00B91413" w:rsidRDefault="006D0E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64" w:type="dxa"/>
          </w:tcPr>
          <w:p w:rsidR="00B91413" w:rsidRDefault="006D0E4E">
            <w:pPr>
              <w:pStyle w:val="ConsPlusNormal"/>
            </w:pPr>
            <w:r>
              <w:t>Муниципальное автономное учреждение дополнительного образования «Спортивная школа «Молот» по хоккею» г. Перми</w:t>
            </w:r>
          </w:p>
        </w:tc>
        <w:tc>
          <w:tcPr>
            <w:tcW w:w="1823" w:type="dxa"/>
          </w:tcPr>
          <w:p w:rsidR="00B91413" w:rsidRDefault="006D0E4E">
            <w:pPr>
              <w:pStyle w:val="ConsPlusNormal"/>
              <w:jc w:val="center"/>
            </w:pPr>
            <w:r>
              <w:t>6 660,756</w:t>
            </w:r>
          </w:p>
        </w:tc>
        <w:tc>
          <w:tcPr>
            <w:tcW w:w="1752" w:type="dxa"/>
          </w:tcPr>
          <w:p w:rsidR="00B91413" w:rsidRDefault="006D0E4E">
            <w:pPr>
              <w:pStyle w:val="ConsPlusNormal"/>
              <w:jc w:val="center"/>
            </w:pPr>
            <w:r>
              <w:t>1 520,200</w:t>
            </w:r>
          </w:p>
        </w:tc>
        <w:tc>
          <w:tcPr>
            <w:tcW w:w="1500" w:type="dxa"/>
          </w:tcPr>
          <w:p w:rsidR="00B91413" w:rsidRDefault="006D0E4E">
            <w:pPr>
              <w:pStyle w:val="ConsPlusNormal"/>
              <w:jc w:val="center"/>
            </w:pPr>
            <w:r>
              <w:t>1 520,200</w:t>
            </w:r>
          </w:p>
        </w:tc>
      </w:tr>
      <w:tr w:rsidR="00B91413">
        <w:tc>
          <w:tcPr>
            <w:tcW w:w="548" w:type="dxa"/>
          </w:tcPr>
          <w:p w:rsidR="00B91413" w:rsidRDefault="006D0E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4" w:type="dxa"/>
          </w:tcPr>
          <w:p w:rsidR="00B91413" w:rsidRDefault="006D0E4E">
            <w:pPr>
              <w:pStyle w:val="ConsPlusNormal"/>
            </w:pPr>
            <w:r>
              <w:t>Муниципальное автономное учреждение дополнительного образования «Спортивная школа</w:t>
            </w:r>
            <w:r>
              <w:t xml:space="preserve"> олимпийского резерва «Звезда» по футболу» г. Перми</w:t>
            </w:r>
          </w:p>
        </w:tc>
        <w:tc>
          <w:tcPr>
            <w:tcW w:w="1823" w:type="dxa"/>
          </w:tcPr>
          <w:p w:rsidR="00B91413" w:rsidRDefault="006D0E4E">
            <w:pPr>
              <w:pStyle w:val="ConsPlusNormal"/>
              <w:jc w:val="center"/>
            </w:pPr>
            <w:r>
              <w:t>4 188,452</w:t>
            </w:r>
          </w:p>
        </w:tc>
        <w:tc>
          <w:tcPr>
            <w:tcW w:w="1752" w:type="dxa"/>
          </w:tcPr>
          <w:p w:rsidR="00B91413" w:rsidRDefault="006D0E4E">
            <w:pPr>
              <w:pStyle w:val="ConsPlusNormal"/>
              <w:jc w:val="center"/>
            </w:pPr>
            <w:r>
              <w:t>1 594,000</w:t>
            </w:r>
          </w:p>
        </w:tc>
        <w:tc>
          <w:tcPr>
            <w:tcW w:w="1500" w:type="dxa"/>
          </w:tcPr>
          <w:p w:rsidR="00B91413" w:rsidRDefault="006D0E4E">
            <w:pPr>
              <w:pStyle w:val="ConsPlusNormal"/>
              <w:jc w:val="center"/>
            </w:pPr>
            <w:r>
              <w:t>1 594,000</w:t>
            </w:r>
          </w:p>
        </w:tc>
      </w:tr>
      <w:tr w:rsidR="00B91413">
        <w:tc>
          <w:tcPr>
            <w:tcW w:w="548" w:type="dxa"/>
          </w:tcPr>
          <w:p w:rsidR="00B91413" w:rsidRDefault="006D0E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4" w:type="dxa"/>
          </w:tcPr>
          <w:p w:rsidR="00B91413" w:rsidRDefault="006D0E4E">
            <w:pPr>
              <w:pStyle w:val="ConsPlusNormal"/>
            </w:pPr>
            <w:r>
              <w:t>Муниципальное бюджетное учреждение дополнительного образования «Спортивная школа «Закамск» г. Перми</w:t>
            </w:r>
          </w:p>
        </w:tc>
        <w:tc>
          <w:tcPr>
            <w:tcW w:w="1823" w:type="dxa"/>
          </w:tcPr>
          <w:p w:rsidR="00B91413" w:rsidRDefault="006D0E4E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752" w:type="dxa"/>
          </w:tcPr>
          <w:p w:rsidR="00B91413" w:rsidRDefault="006D0E4E">
            <w:pPr>
              <w:pStyle w:val="ConsPlusNormal"/>
              <w:jc w:val="center"/>
            </w:pPr>
            <w:r>
              <w:t>800,000</w:t>
            </w:r>
          </w:p>
        </w:tc>
        <w:tc>
          <w:tcPr>
            <w:tcW w:w="1500" w:type="dxa"/>
          </w:tcPr>
          <w:p w:rsidR="00B91413" w:rsidRDefault="006D0E4E">
            <w:pPr>
              <w:pStyle w:val="ConsPlusNormal"/>
              <w:jc w:val="center"/>
            </w:pPr>
            <w:r>
              <w:t>800,000</w:t>
            </w:r>
          </w:p>
        </w:tc>
      </w:tr>
      <w:tr w:rsidR="00B91413">
        <w:tc>
          <w:tcPr>
            <w:tcW w:w="548" w:type="dxa"/>
          </w:tcPr>
          <w:p w:rsidR="00B91413" w:rsidRDefault="006D0E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64" w:type="dxa"/>
          </w:tcPr>
          <w:p w:rsidR="00B91413" w:rsidRDefault="006D0E4E">
            <w:pPr>
              <w:pStyle w:val="ConsPlusNormal"/>
            </w:pPr>
            <w:r>
              <w:t>Муниципальное бюджетное учреждение дополните</w:t>
            </w:r>
            <w:r>
              <w:t>льного образования «Спортивная школа Свердловского района» г. Перми</w:t>
            </w:r>
          </w:p>
        </w:tc>
        <w:tc>
          <w:tcPr>
            <w:tcW w:w="1823" w:type="dxa"/>
          </w:tcPr>
          <w:p w:rsidR="00B91413" w:rsidRDefault="006D0E4E">
            <w:pPr>
              <w:pStyle w:val="ConsPlusNormal"/>
              <w:jc w:val="center"/>
            </w:pPr>
            <w:r>
              <w:t>2 796,441</w:t>
            </w:r>
          </w:p>
        </w:tc>
        <w:tc>
          <w:tcPr>
            <w:tcW w:w="1752" w:type="dxa"/>
          </w:tcPr>
          <w:p w:rsidR="00B91413" w:rsidRDefault="006D0E4E">
            <w:pPr>
              <w:pStyle w:val="ConsPlusNormal"/>
              <w:jc w:val="center"/>
            </w:pPr>
            <w:r>
              <w:t>1 500,000</w:t>
            </w:r>
          </w:p>
        </w:tc>
        <w:tc>
          <w:tcPr>
            <w:tcW w:w="1500" w:type="dxa"/>
          </w:tcPr>
          <w:p w:rsidR="00B91413" w:rsidRDefault="006D0E4E">
            <w:pPr>
              <w:pStyle w:val="ConsPlusNormal"/>
              <w:jc w:val="center"/>
            </w:pPr>
            <w:r>
              <w:t>1 500,000</w:t>
            </w:r>
          </w:p>
        </w:tc>
      </w:tr>
      <w:tr w:rsidR="00B91413">
        <w:tc>
          <w:tcPr>
            <w:tcW w:w="4812" w:type="dxa"/>
            <w:gridSpan w:val="2"/>
            <w:tcBorders>
              <w:bottom w:val="single" w:sz="4" w:space="0" w:color="000000"/>
            </w:tcBorders>
          </w:tcPr>
          <w:p w:rsidR="00B91413" w:rsidRDefault="006D0E4E">
            <w:pPr>
              <w:pStyle w:val="ConsPlusNormal"/>
            </w:pPr>
            <w:r>
              <w:t>Всего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B91413" w:rsidRDefault="006D0E4E">
            <w:pPr>
              <w:pStyle w:val="ConsPlusNormal"/>
              <w:jc w:val="center"/>
            </w:pPr>
            <w:r>
              <w:t>18 945,649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B91413" w:rsidRDefault="006D0E4E">
            <w:pPr>
              <w:pStyle w:val="ConsPlusNormal"/>
              <w:jc w:val="center"/>
            </w:pPr>
            <w:r>
              <w:t>6 914,200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B91413" w:rsidRDefault="006D0E4E">
            <w:pPr>
              <w:pStyle w:val="ConsPlusNormal"/>
              <w:jc w:val="center"/>
            </w:pPr>
            <w:r>
              <w:t>6 914,200</w:t>
            </w:r>
          </w:p>
        </w:tc>
      </w:tr>
    </w:tbl>
    <w:p w:rsidR="00000000" w:rsidRDefault="006D0E4E"/>
    <w:sectPr w:rsidR="00000000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13" w:rsidRDefault="006D0E4E">
      <w:r>
        <w:separator/>
      </w:r>
    </w:p>
  </w:endnote>
  <w:endnote w:type="continuationSeparator" w:id="0">
    <w:p w:rsidR="00B91413" w:rsidRDefault="006D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13" w:rsidRDefault="00B91413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13" w:rsidRDefault="006D0E4E">
      <w:r>
        <w:separator/>
      </w:r>
    </w:p>
  </w:footnote>
  <w:footnote w:type="continuationSeparator" w:id="0">
    <w:p w:rsidR="00B91413" w:rsidRDefault="006D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13" w:rsidRDefault="006D0E4E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B91413" w:rsidRDefault="00B914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13" w:rsidRDefault="006D0E4E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91413" w:rsidRDefault="00B9141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13" w:rsidRDefault="00B91413">
    <w:pPr>
      <w:pStyle w:val="ab"/>
      <w:jc w:val="center"/>
      <w:rPr>
        <w:sz w:val="28"/>
        <w:szCs w:val="28"/>
      </w:rPr>
    </w:pPr>
  </w:p>
  <w:p w:rsidR="00B91413" w:rsidRDefault="00B914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1171"/>
    <w:multiLevelType w:val="hybridMultilevel"/>
    <w:tmpl w:val="C3DA1E1C"/>
    <w:lvl w:ilvl="0" w:tplc="A37C7722">
      <w:start w:val="1"/>
      <w:numFmt w:val="upperRoman"/>
      <w:lvlText w:val="%1."/>
      <w:lvlJc w:val="left"/>
      <w:pPr>
        <w:ind w:left="1429" w:hanging="720"/>
      </w:pPr>
    </w:lvl>
    <w:lvl w:ilvl="1" w:tplc="E39C7008">
      <w:start w:val="1"/>
      <w:numFmt w:val="lowerLetter"/>
      <w:lvlText w:val="%2."/>
      <w:lvlJc w:val="left"/>
      <w:pPr>
        <w:ind w:left="1789" w:hanging="360"/>
      </w:pPr>
    </w:lvl>
    <w:lvl w:ilvl="2" w:tplc="55BA3C08">
      <w:start w:val="1"/>
      <w:numFmt w:val="lowerRoman"/>
      <w:lvlText w:val="%3."/>
      <w:lvlJc w:val="right"/>
      <w:pPr>
        <w:ind w:left="2509" w:hanging="180"/>
      </w:pPr>
    </w:lvl>
    <w:lvl w:ilvl="3" w:tplc="6456A9B2">
      <w:start w:val="1"/>
      <w:numFmt w:val="decimal"/>
      <w:lvlText w:val="%4."/>
      <w:lvlJc w:val="left"/>
      <w:pPr>
        <w:ind w:left="3229" w:hanging="360"/>
      </w:pPr>
    </w:lvl>
    <w:lvl w:ilvl="4" w:tplc="8EC47DE8">
      <w:start w:val="1"/>
      <w:numFmt w:val="lowerLetter"/>
      <w:lvlText w:val="%5."/>
      <w:lvlJc w:val="left"/>
      <w:pPr>
        <w:ind w:left="3949" w:hanging="360"/>
      </w:pPr>
    </w:lvl>
    <w:lvl w:ilvl="5" w:tplc="CF7C664A">
      <w:start w:val="1"/>
      <w:numFmt w:val="lowerRoman"/>
      <w:lvlText w:val="%6."/>
      <w:lvlJc w:val="right"/>
      <w:pPr>
        <w:ind w:left="4669" w:hanging="180"/>
      </w:pPr>
    </w:lvl>
    <w:lvl w:ilvl="6" w:tplc="A1C81572">
      <w:start w:val="1"/>
      <w:numFmt w:val="decimal"/>
      <w:lvlText w:val="%7."/>
      <w:lvlJc w:val="left"/>
      <w:pPr>
        <w:ind w:left="5389" w:hanging="360"/>
      </w:pPr>
    </w:lvl>
    <w:lvl w:ilvl="7" w:tplc="00E821DA">
      <w:start w:val="1"/>
      <w:numFmt w:val="lowerLetter"/>
      <w:lvlText w:val="%8."/>
      <w:lvlJc w:val="left"/>
      <w:pPr>
        <w:ind w:left="6109" w:hanging="360"/>
      </w:pPr>
    </w:lvl>
    <w:lvl w:ilvl="8" w:tplc="0E6A3C3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251616"/>
    <w:multiLevelType w:val="multilevel"/>
    <w:tmpl w:val="FB8025C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5147497F"/>
    <w:multiLevelType w:val="multilevel"/>
    <w:tmpl w:val="177098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76393BAD"/>
    <w:multiLevelType w:val="multilevel"/>
    <w:tmpl w:val="A60CC98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13"/>
    <w:rsid w:val="001673AB"/>
    <w:rsid w:val="006D0E4E"/>
    <w:rsid w:val="00B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5F0F5-7F54-4315-9B43-AF2C6646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72287&amp;dst=100012&amp;field=134&amp;date=22.12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2023-09-20T10:49:00Z</cp:lastPrinted>
  <dcterms:created xsi:type="dcterms:W3CDTF">2023-09-20T10:49:00Z</dcterms:created>
  <dcterms:modified xsi:type="dcterms:W3CDTF">2023-09-20T10:49:00Z</dcterms:modified>
  <cp:version>786432</cp:version>
</cp:coreProperties>
</file>