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62" w:rsidRDefault="00640B5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-24766</wp:posOffset>
                </wp:positionV>
                <wp:extent cx="6419215" cy="147637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19215" cy="147637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6A62" w:rsidRDefault="00CF789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06A62" w:rsidRDefault="00CF789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06A62" w:rsidRDefault="00D06A6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D06A62" w:rsidRDefault="00D06A6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06A62" w:rsidRDefault="00D06A6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06A62" w:rsidRPr="00640B58" w:rsidRDefault="00640B5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21.09.2023</w:t>
                              </w:r>
                            </w:p>
                            <w:p w:rsidR="00D06A62" w:rsidRDefault="00D06A62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06A62" w:rsidRDefault="00640B5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889</w:t>
                              </w:r>
                            </w:p>
                            <w:p w:rsidR="00D06A62" w:rsidRDefault="00D06A6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-10.15pt;margin-top:-1.95pt;width:505.45pt;height:116.25pt;z-index:524288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06A62" w:rsidRDefault="00CF789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06A62" w:rsidRDefault="00CF789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06A62" w:rsidRDefault="00D06A6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D06A62" w:rsidRDefault="00D06A6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06A62" w:rsidRDefault="00D06A6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06A62" w:rsidRPr="00640B58" w:rsidRDefault="00640B5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21.09.2023</w:t>
                        </w:r>
                      </w:p>
                      <w:p w:rsidR="00D06A62" w:rsidRDefault="00D06A62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06A62" w:rsidRDefault="00640B5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889</w:t>
                        </w:r>
                      </w:p>
                      <w:p w:rsidR="00D06A62" w:rsidRDefault="00D06A62"/>
                    </w:txbxContent>
                  </v:textbox>
                </v:shape>
              </v:group>
            </w:pict>
          </mc:Fallback>
        </mc:AlternateContent>
      </w:r>
    </w:p>
    <w:p w:rsidR="00D06A62" w:rsidRDefault="00D06A6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6A62" w:rsidRDefault="00D06A6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6A62" w:rsidRDefault="00CF789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-1096009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6A62" w:rsidRDefault="00D06A6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6A62" w:rsidRDefault="00D06A6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06A62" w:rsidRDefault="00D06A62">
      <w:pPr>
        <w:jc w:val="both"/>
        <w:rPr>
          <w:sz w:val="24"/>
          <w:lang w:val="en-US"/>
        </w:rPr>
      </w:pPr>
    </w:p>
    <w:p w:rsidR="00D06A62" w:rsidRDefault="00D06A62">
      <w:pPr>
        <w:jc w:val="both"/>
        <w:rPr>
          <w:sz w:val="24"/>
        </w:rPr>
      </w:pPr>
    </w:p>
    <w:p w:rsidR="00D06A62" w:rsidRDefault="00D06A62">
      <w:pPr>
        <w:jc w:val="both"/>
        <w:rPr>
          <w:sz w:val="28"/>
          <w:szCs w:val="28"/>
        </w:rPr>
      </w:pPr>
    </w:p>
    <w:p w:rsidR="00D06A62" w:rsidRDefault="00D06A62">
      <w:pPr>
        <w:jc w:val="both"/>
        <w:rPr>
          <w:sz w:val="28"/>
          <w:szCs w:val="28"/>
        </w:rPr>
      </w:pPr>
    </w:p>
    <w:p w:rsidR="00D06A62" w:rsidRDefault="00CF7894">
      <w:pPr>
        <w:pStyle w:val="aff1"/>
        <w:spacing w:line="240" w:lineRule="exact"/>
        <w:rPr>
          <w:b/>
        </w:rPr>
      </w:pPr>
      <w:bookmarkStart w:id="0" w:name="_GoBack"/>
      <w:r>
        <w:rPr>
          <w:b/>
        </w:rPr>
        <w:t>О внесении изменений в Порядок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предоставления субсидий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за счет средств бюджета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 на финансовое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обеспечение затрат, связанных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с осуществлением хозяйственной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деятельности территориального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общественного самоуправления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Перми, утвержденный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постановлением администрации </w:t>
      </w:r>
    </w:p>
    <w:p w:rsidR="00D06A62" w:rsidRDefault="00CF7894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 от 07.03.2014 № 160 </w:t>
      </w:r>
    </w:p>
    <w:bookmarkEnd w:id="0"/>
    <w:p w:rsidR="00D06A62" w:rsidRDefault="00D06A62">
      <w:pPr>
        <w:jc w:val="both"/>
        <w:rPr>
          <w:sz w:val="28"/>
          <w:szCs w:val="28"/>
        </w:rPr>
      </w:pPr>
    </w:p>
    <w:p w:rsidR="00D06A62" w:rsidRDefault="00D06A62">
      <w:pPr>
        <w:jc w:val="both"/>
        <w:rPr>
          <w:sz w:val="28"/>
          <w:szCs w:val="28"/>
        </w:rPr>
      </w:pPr>
    </w:p>
    <w:p w:rsidR="00D06A62" w:rsidRDefault="00CF7894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приведения в соответствие с действую</w:t>
      </w:r>
      <w:r>
        <w:rPr>
          <w:sz w:val="28"/>
          <w:szCs w:val="28"/>
        </w:rPr>
        <w:t>щим законодательством</w:t>
      </w:r>
    </w:p>
    <w:p w:rsidR="00D06A62" w:rsidRDefault="00CF789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D06A62" w:rsidRDefault="00CF7894">
      <w:pPr>
        <w:pStyle w:val="ConsPlusNormal"/>
        <w:ind w:firstLine="720"/>
        <w:jc w:val="both"/>
      </w:pPr>
      <w:r>
        <w:t xml:space="preserve">1. Внести в Порядок предоставления субсидий за счет средств бюджета </w:t>
      </w:r>
      <w:r>
        <w:br w:type="textWrapping" w:clear="all"/>
      </w:r>
      <w:r>
        <w:t>города Перми на финансовое обеспечение затрат, связанных с осуществлением хозяйственной деятельности территориального общест</w:t>
      </w:r>
      <w:r>
        <w:t xml:space="preserve">венного самоуправления </w:t>
      </w:r>
      <w:r>
        <w:br w:type="textWrapping" w:clear="all"/>
      </w:r>
      <w:r>
        <w:t xml:space="preserve">города Перми, утвержденный постановлением администрации города Перми </w:t>
      </w:r>
      <w:r>
        <w:br w:type="textWrapping" w:clear="all"/>
      </w:r>
      <w:r>
        <w:t xml:space="preserve">от 07 марта 2014 г. № 160 (в ред. от 27.07.2016 </w:t>
      </w:r>
      <w:hyperlink r:id="rId7">
        <w:r>
          <w:t>№ 534</w:t>
        </w:r>
      </w:hyperlink>
      <w:r>
        <w:t xml:space="preserve">, от 28.02.2017 </w:t>
      </w:r>
      <w:hyperlink r:id="rId8">
        <w:r>
          <w:t>№ 142</w:t>
        </w:r>
      </w:hyperlink>
      <w:r>
        <w:t xml:space="preserve">, </w:t>
      </w:r>
      <w:r>
        <w:br w:type="textWrapping" w:clear="all"/>
      </w:r>
      <w:r>
        <w:t xml:space="preserve">от 30.10.2017 </w:t>
      </w:r>
      <w:hyperlink r:id="rId9">
        <w:r>
          <w:t>№ 970</w:t>
        </w:r>
      </w:hyperlink>
      <w:r>
        <w:t xml:space="preserve">, от 06.03.2018 </w:t>
      </w:r>
      <w:hyperlink r:id="rId10">
        <w:r>
          <w:t>№ 119</w:t>
        </w:r>
      </w:hyperlink>
      <w:r>
        <w:t xml:space="preserve">, от 31.10.2018 </w:t>
      </w:r>
      <w:hyperlink r:id="rId11">
        <w:r>
          <w:t>№ 852</w:t>
        </w:r>
      </w:hyperlink>
      <w:r>
        <w:t xml:space="preserve">, от 25.02.2019 </w:t>
      </w:r>
      <w:r>
        <w:br w:type="textWrapping" w:clear="all"/>
      </w:r>
      <w:hyperlink r:id="rId12">
        <w:r>
          <w:t>№ 121</w:t>
        </w:r>
      </w:hyperlink>
      <w:r>
        <w:t xml:space="preserve">, от 16.12.2019 </w:t>
      </w:r>
      <w:hyperlink r:id="rId13">
        <w:r>
          <w:t>№ 1017</w:t>
        </w:r>
      </w:hyperlink>
      <w:r>
        <w:t xml:space="preserve">, от 22.09.2020 </w:t>
      </w:r>
      <w:hyperlink r:id="rId14">
        <w:r>
          <w:t>№ 866</w:t>
        </w:r>
      </w:hyperlink>
      <w:r>
        <w:t xml:space="preserve">, от 29.12.2020 </w:t>
      </w:r>
      <w:hyperlink r:id="rId15">
        <w:r>
          <w:t>№ 1343</w:t>
        </w:r>
      </w:hyperlink>
      <w:r>
        <w:t xml:space="preserve">, </w:t>
      </w:r>
      <w:r>
        <w:br w:type="textWrapping" w:clear="all"/>
      </w:r>
      <w:r>
        <w:t xml:space="preserve">от 13.05.2021 </w:t>
      </w:r>
      <w:hyperlink r:id="rId16">
        <w:r>
          <w:t>№ 341</w:t>
        </w:r>
      </w:hyperlink>
      <w:r>
        <w:t xml:space="preserve">, от 24.03.2022 </w:t>
      </w:r>
      <w:hyperlink r:id="rId17">
        <w:r>
          <w:t>№ 215</w:t>
        </w:r>
      </w:hyperlink>
      <w:r>
        <w:t>, от 19.09.2022 № 816, от 13.0</w:t>
      </w:r>
      <w:r>
        <w:t xml:space="preserve">1.2023 </w:t>
      </w:r>
      <w:r>
        <w:br w:type="textWrapping" w:clear="all"/>
      </w:r>
      <w:r>
        <w:t xml:space="preserve">№ 13, от 09.06.2023 № 479), следующие изменения: </w:t>
      </w:r>
    </w:p>
    <w:p w:rsidR="00D06A62" w:rsidRDefault="00CF7894">
      <w:pPr>
        <w:pStyle w:val="ConsPlusNormal"/>
        <w:ind w:firstLine="720"/>
        <w:jc w:val="both"/>
      </w:pPr>
      <w:r>
        <w:t>1.1. после пункта 1.7.3 дополнить пунктом 1.7.4 следующего содержания:</w:t>
      </w:r>
    </w:p>
    <w:p w:rsidR="00D06A62" w:rsidRDefault="00CF7894">
      <w:pPr>
        <w:pStyle w:val="ConsPlusNormal"/>
        <w:ind w:firstLine="720"/>
        <w:jc w:val="both"/>
      </w:pPr>
      <w:r>
        <w:t>«1.7.4. поощрительная часть субсидии – часть субсидии, предоставляемая ТОС по итогам распределения стимулирующей части субсидии</w:t>
      </w:r>
      <w:r>
        <w:t xml:space="preserve"> во втором полугодии в соответствии с условиями, указанными в пункте 2.12</w:t>
      </w:r>
      <w:r>
        <w:rPr>
          <w:vertAlign w:val="superscript"/>
        </w:rPr>
        <w:t>1</w:t>
      </w:r>
      <w:r>
        <w:t xml:space="preserve"> настоящего Порядка.»;</w:t>
      </w:r>
    </w:p>
    <w:p w:rsidR="00D06A62" w:rsidRDefault="00CF7894">
      <w:pPr>
        <w:pStyle w:val="ConsPlusNormal"/>
        <w:ind w:firstLine="720"/>
        <w:jc w:val="both"/>
      </w:pPr>
      <w:r>
        <w:t>1.2. в пункте 2.7.3.1 слово «сумму» заменить словом «размер»;</w:t>
      </w:r>
    </w:p>
    <w:p w:rsidR="00D06A62" w:rsidRDefault="00CF7894">
      <w:pPr>
        <w:pStyle w:val="ConsPlusNormal"/>
        <w:ind w:firstLine="720"/>
        <w:jc w:val="both"/>
      </w:pPr>
      <w:r>
        <w:t>1.3. пункт 2.7.3.2 изложить в следующей редакции:</w:t>
      </w:r>
    </w:p>
    <w:p w:rsidR="00D06A62" w:rsidRDefault="00CF7894">
      <w:pPr>
        <w:pStyle w:val="ConsPlusNormal"/>
        <w:ind w:firstLine="720"/>
        <w:jc w:val="both"/>
      </w:pPr>
      <w:r>
        <w:t>«2.7.3.2. утверждает распоряжением главы админи</w:t>
      </w:r>
      <w:r>
        <w:t xml:space="preserve">страции района (поселка Новые Ляды) города Перми размер субсидии, определенный в соответствии </w:t>
      </w:r>
      <w:r>
        <w:br/>
        <w:t>с пунктом 2.7.3.1 настоящего Порядка;»;</w:t>
      </w:r>
    </w:p>
    <w:p w:rsidR="00D06A62" w:rsidRDefault="00CF7894">
      <w:pPr>
        <w:pStyle w:val="ConsPlusNormal"/>
        <w:ind w:firstLine="720"/>
        <w:jc w:val="both"/>
      </w:pPr>
      <w:r>
        <w:t xml:space="preserve">1.4. в пункте 2.7.3.3 слова «о сумме утвержденной» заменить словом </w:t>
      </w:r>
      <w:r>
        <w:br/>
        <w:t>«об утвержденном размере»;</w:t>
      </w:r>
    </w:p>
    <w:p w:rsidR="00D06A62" w:rsidRDefault="00CF7894">
      <w:pPr>
        <w:pStyle w:val="ConsPlusNormal"/>
        <w:ind w:firstLine="720"/>
        <w:jc w:val="both"/>
      </w:pPr>
      <w:r>
        <w:t>1.5. в пункте 2.8 слово «с</w:t>
      </w:r>
      <w:r>
        <w:t>умме» заменить словом «размере»;</w:t>
      </w:r>
    </w:p>
    <w:p w:rsidR="00D06A62" w:rsidRDefault="00CF7894">
      <w:pPr>
        <w:pStyle w:val="ConsPlusNormal"/>
        <w:ind w:firstLine="720"/>
        <w:jc w:val="both"/>
      </w:pPr>
      <w:r>
        <w:t>1.6. в пункте 2.11 слово «сумма» заменить словом «размер»;</w:t>
      </w:r>
    </w:p>
    <w:p w:rsidR="00D06A62" w:rsidRDefault="00CF7894">
      <w:pPr>
        <w:pStyle w:val="ConsPlusNormal"/>
        <w:ind w:firstLine="720"/>
        <w:jc w:val="both"/>
      </w:pPr>
      <w:r>
        <w:lastRenderedPageBreak/>
        <w:t>1.7. после пункта 2.11.3 дополнить пунктом 2.11.4 следующего содержания:</w:t>
      </w:r>
    </w:p>
    <w:p w:rsidR="00D06A62" w:rsidRDefault="00CF7894">
      <w:pPr>
        <w:pStyle w:val="ConsPlusNormal"/>
        <w:ind w:firstLine="720"/>
        <w:jc w:val="both"/>
      </w:pPr>
      <w:r>
        <w:t xml:space="preserve">«2.11.4. поощрительная часть субсидии определяется в соответствии </w:t>
      </w:r>
      <w:r>
        <w:br/>
        <w:t>с пунктом 2.12</w:t>
      </w:r>
      <w:r>
        <w:rPr>
          <w:vertAlign w:val="superscript"/>
        </w:rPr>
        <w:t>1</w:t>
      </w:r>
      <w:r>
        <w:t xml:space="preserve"> настоящего Порядка.»;</w:t>
      </w:r>
    </w:p>
    <w:p w:rsidR="00D06A62" w:rsidRDefault="00CF7894">
      <w:pPr>
        <w:pStyle w:val="ConsPlusNormal"/>
        <w:ind w:firstLine="720"/>
        <w:jc w:val="both"/>
      </w:pPr>
      <w:r>
        <w:t>1.8. пункт 2.12 дополнить абзацами следующего содержания:</w:t>
      </w:r>
    </w:p>
    <w:p w:rsidR="00D06A62" w:rsidRDefault="00CF7894">
      <w:pPr>
        <w:pStyle w:val="ConsPlusNormal"/>
        <w:ind w:firstLine="720"/>
        <w:jc w:val="both"/>
      </w:pPr>
      <w:r>
        <w:t>«В случае образования нераспределенного остатка средств субсидии после предоставления стимулирующей части субсидии в первом полугодии, нераспределенный остаток средств субсиди</w:t>
      </w:r>
      <w:r>
        <w:t>и переходит для формирования стимулирующей части субсидии для последующего распределения во втором полугодии.</w:t>
      </w:r>
    </w:p>
    <w:p w:rsidR="00D06A62" w:rsidRDefault="00CF7894">
      <w:pPr>
        <w:pStyle w:val="ConsPlusNormal"/>
        <w:ind w:firstLine="720"/>
        <w:jc w:val="both"/>
      </w:pPr>
      <w:r>
        <w:t>В случае образования нераспределенного остатка средств субсидии</w:t>
      </w:r>
      <w:r>
        <w:rPr>
          <w:color w:val="FF0000"/>
        </w:rPr>
        <w:t xml:space="preserve"> </w:t>
      </w:r>
      <w:r>
        <w:t>после предоставления стимулирующей части субсидии во втором полугодии, дополнитель</w:t>
      </w:r>
      <w:r>
        <w:t xml:space="preserve">но проводится этап распределения общего объема нераспределенного остатка средств субсидии по всем главным распорядителям бюджетных средств на предоставление поощрительной части субсидии ТОС, набравшим не менее </w:t>
      </w:r>
      <w:r>
        <w:br/>
        <w:t>80 баллов.»;</w:t>
      </w:r>
    </w:p>
    <w:p w:rsidR="00D06A62" w:rsidRDefault="00CF7894">
      <w:pPr>
        <w:pStyle w:val="ConsPlusNormal"/>
        <w:ind w:firstLine="720"/>
        <w:jc w:val="both"/>
      </w:pPr>
      <w:r>
        <w:t>1.9. после пункта 2.12 дополнить</w:t>
      </w:r>
      <w:r>
        <w:t xml:space="preserve"> пунктами 2.12</w:t>
      </w:r>
      <w:r>
        <w:rPr>
          <w:vertAlign w:val="superscript"/>
        </w:rPr>
        <w:t>1</w:t>
      </w:r>
      <w:r>
        <w:t>-2.12</w:t>
      </w:r>
      <w:r>
        <w:rPr>
          <w:vertAlign w:val="superscript"/>
        </w:rPr>
        <w:t>5</w:t>
      </w:r>
      <w:r>
        <w:t xml:space="preserve"> следующего содержания:</w:t>
      </w:r>
    </w:p>
    <w:p w:rsidR="00D06A62" w:rsidRDefault="00CF7894">
      <w:pPr>
        <w:pStyle w:val="ConsPlusNormal"/>
        <w:ind w:firstLine="720"/>
        <w:jc w:val="both"/>
      </w:pPr>
      <w:r>
        <w:t>«2.12</w:t>
      </w:r>
      <w:r>
        <w:rPr>
          <w:vertAlign w:val="superscript"/>
        </w:rPr>
        <w:t>1</w:t>
      </w:r>
      <w:r>
        <w:t>.</w:t>
      </w:r>
      <w:r>
        <w:rPr>
          <w:vertAlign w:val="superscript"/>
        </w:rPr>
        <w:t xml:space="preserve"> </w:t>
      </w:r>
      <w:r>
        <w:t>Поощрительная часть субсидии определяется исходя из набранных баллов по критериям оценки ТОС в соответствии с пунктом 2.11.2 настоящего Порядка:</w:t>
      </w:r>
    </w:p>
    <w:p w:rsidR="00D06A62" w:rsidRDefault="00CF7894">
      <w:pPr>
        <w:pStyle w:val="ConsPlusNormal"/>
        <w:ind w:firstLine="720"/>
        <w:jc w:val="both"/>
      </w:pPr>
      <w:r>
        <w:t>25 % от общего объема нераспределенного остатка средств ра</w:t>
      </w:r>
      <w:r>
        <w:t>спределяются в равных долях между ТОС, набравшими от 80 до 84 баллов;</w:t>
      </w:r>
    </w:p>
    <w:p w:rsidR="00D06A62" w:rsidRDefault="00CF7894">
      <w:pPr>
        <w:pStyle w:val="ConsPlusNormal"/>
        <w:ind w:firstLine="720"/>
        <w:jc w:val="both"/>
      </w:pPr>
      <w:r>
        <w:t>30 % от общего объема нераспределенного остатка средств распределяются в равных долях между ТОС, набравшими от 85 до 89 баллов;</w:t>
      </w:r>
    </w:p>
    <w:p w:rsidR="00D06A62" w:rsidRDefault="00CF7894">
      <w:pPr>
        <w:pStyle w:val="ConsPlusNormal"/>
        <w:ind w:firstLine="720"/>
        <w:jc w:val="both"/>
      </w:pPr>
      <w:r>
        <w:t>45 % от общего объема нераспределенного остатка средств ра</w:t>
      </w:r>
      <w:r>
        <w:t>спределяются в равных долях между ТОС, набравшими от 90 до 100 баллов.</w:t>
      </w:r>
    </w:p>
    <w:p w:rsidR="00D06A62" w:rsidRDefault="00CF7894">
      <w:pPr>
        <w:pStyle w:val="ConsPlusNormal"/>
        <w:ind w:firstLine="720"/>
        <w:jc w:val="both"/>
      </w:pPr>
      <w:r>
        <w:t>Для предоставления финансового обеспечения поощрительной части субсидии финансирование главного распорядителя бюджетных средств может быть увеличено при наличии экономии по данному виду</w:t>
      </w:r>
      <w:r>
        <w:t xml:space="preserve"> расходов по другим главным распорядителям бюджетных средств.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2</w:t>
      </w:r>
      <w:r>
        <w:t>. В случае наличия нераспределенного остатка средств субсидии достаточного для распределения поощрительной части субсидии, главный распорядитель бюджетных средств в течение двух месяцев пос</w:t>
      </w:r>
      <w:r>
        <w:t>ле утверждения распоряжением главы администрации района (поселка Новые Ляды) города Перми размера субсидии согласно пункту 2.7.3.2 настоящего Порядка: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2</w:t>
      </w:r>
      <w:r>
        <w:t xml:space="preserve">.1. определяет размер поощрительной части субсидии в соответствии </w:t>
      </w:r>
      <w:r>
        <w:br/>
        <w:t>с пунктом 2.12</w:t>
      </w:r>
      <w:r>
        <w:rPr>
          <w:vertAlign w:val="superscript"/>
        </w:rPr>
        <w:t>1</w:t>
      </w:r>
      <w:r>
        <w:t xml:space="preserve"> настоящего Порядк</w:t>
      </w:r>
      <w:r>
        <w:t>а;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2</w:t>
      </w:r>
      <w:r>
        <w:t>.2. утверждает распоряжением главы администрации района (поселка Новые Ляды) города Перми размер поощрительной части субсидии, определенный в соответствии с пунктом 2.12</w:t>
      </w:r>
      <w:r>
        <w:rPr>
          <w:vertAlign w:val="superscript"/>
        </w:rPr>
        <w:t>1</w:t>
      </w:r>
      <w:r>
        <w:t xml:space="preserve"> настоящего Порядка;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2</w:t>
      </w:r>
      <w:r>
        <w:t>.3. уведомляет ТОС о размере</w:t>
      </w:r>
      <w:r>
        <w:t xml:space="preserve"> утвержденной поощрительной части субсидии.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3</w:t>
      </w:r>
      <w:r>
        <w:t xml:space="preserve">. ТОС в течение 5 рабочих дней после дня получения уведомления </w:t>
      </w:r>
      <w:r>
        <w:br/>
        <w:t xml:space="preserve">о размере поощрительной части субсидии представляет главному распорядителю </w:t>
      </w:r>
      <w:r>
        <w:lastRenderedPageBreak/>
        <w:t>бюджетных средств следующие документы для заключения дополнительного</w:t>
      </w:r>
      <w:r>
        <w:t xml:space="preserve"> соглашения к договору: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3</w:t>
      </w:r>
      <w:r>
        <w:t xml:space="preserve">.1. уточненный план мероприятий по форме согласно приложению 4 </w:t>
      </w:r>
      <w:r>
        <w:br/>
        <w:t>к настоящему Порядку (в бумажном виде и на электронном носителе);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3</w:t>
      </w:r>
      <w:r>
        <w:t>.2. уточненную смету расходов, расчеты к смете расходов по форме согласно приложению 5 (в бу</w:t>
      </w:r>
      <w:r>
        <w:t xml:space="preserve">мажном виде и на электронном носителе) </w:t>
      </w:r>
      <w:r>
        <w:br/>
        <w:t>к настоящему Порядку с учетом требований, предусмотренных пунктами 2.8.2.1, 2.8.2.2 настоящего Порядка.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4</w:t>
      </w:r>
      <w:r>
        <w:t>. По результатам рассмотрения документов, указанных в пункте 2.12</w:t>
      </w:r>
      <w:r>
        <w:rPr>
          <w:vertAlign w:val="superscript"/>
        </w:rPr>
        <w:t>3</w:t>
      </w:r>
      <w:r>
        <w:t xml:space="preserve"> настоящего Порядка, главный распорядител</w:t>
      </w:r>
      <w:r>
        <w:t xml:space="preserve">ь бюджетных средств принимает решение о заключении дополнительного соглашения к договору </w:t>
      </w:r>
      <w:r>
        <w:rPr>
          <w:rFonts w:ascii="Arial" w:eastAsia="Arial" w:hAnsi="Arial" w:cs="Arial"/>
          <w:color w:val="4D5156"/>
          <w:sz w:val="21"/>
          <w:highlight w:val="white"/>
        </w:rPr>
        <w:t>–</w:t>
      </w:r>
      <w:r>
        <w:t xml:space="preserve"> при отсутствии оснований для отказа, указанных в пунктах 2.6.2, 2.6.4 настоящего Порядка.</w:t>
      </w:r>
    </w:p>
    <w:p w:rsidR="00D06A62" w:rsidRDefault="00CF7894">
      <w:pPr>
        <w:pStyle w:val="ConsPlusNormal"/>
        <w:ind w:firstLine="720"/>
        <w:jc w:val="both"/>
      </w:pPr>
      <w:r>
        <w:t>В течение 5 рабочих дней после дня принятия указанного решения главный расп</w:t>
      </w:r>
      <w:r>
        <w:t>орядитель бюджетных средств подготавливает проект дополнительного соглашения к договору и направляет его в ТОС для подписания.</w:t>
      </w:r>
    </w:p>
    <w:p w:rsidR="00D06A62" w:rsidRDefault="00CF7894">
      <w:pPr>
        <w:pStyle w:val="ConsPlusNormal"/>
        <w:ind w:firstLine="720"/>
        <w:jc w:val="both"/>
      </w:pPr>
      <w:r>
        <w:t>ТОС в течение 2 рабочих дней со дня получения дополнительного соглашения к договору подписывает и направляет его главному распоря</w:t>
      </w:r>
      <w:r>
        <w:t>дителю бюджетных средств.</w:t>
      </w:r>
    </w:p>
    <w:p w:rsidR="00D06A62" w:rsidRDefault="00CF7894">
      <w:pPr>
        <w:pStyle w:val="ConsPlusNormal"/>
        <w:ind w:firstLine="720"/>
        <w:jc w:val="both"/>
      </w:pPr>
      <w:r>
        <w:t>Главный распорядитель бюджетных средств подписывает и регистрирует договор в течение 3 рабочих дней, следующих за днем его получения от ТОС.</w:t>
      </w:r>
    </w:p>
    <w:p w:rsidR="00D06A62" w:rsidRDefault="00CF7894">
      <w:pPr>
        <w:pStyle w:val="ConsPlusNormal"/>
        <w:ind w:firstLine="720"/>
        <w:jc w:val="both"/>
      </w:pPr>
      <w:r>
        <w:t>2.12</w:t>
      </w:r>
      <w:r>
        <w:rPr>
          <w:vertAlign w:val="superscript"/>
        </w:rPr>
        <w:t>5</w:t>
      </w:r>
      <w:r>
        <w:t xml:space="preserve">. В случае если по результатам рассмотрения документов, указанных </w:t>
      </w:r>
      <w:r>
        <w:br/>
        <w:t>в пункте 2.12</w:t>
      </w:r>
      <w:r>
        <w:rPr>
          <w:vertAlign w:val="superscript"/>
        </w:rPr>
        <w:t>3</w:t>
      </w:r>
      <w:r>
        <w:t xml:space="preserve"> на</w:t>
      </w:r>
      <w:r>
        <w:t xml:space="preserve">стоящего Порядка, имеются основания, указанные </w:t>
      </w:r>
      <w:r>
        <w:br/>
        <w:t xml:space="preserve">в пунктах 2.6.2, 2.6.4 настоящего Порядка, главный распорядитель бюджетных средств в течение 3 рабочих дней после дня принятия документов, указанных </w:t>
      </w:r>
      <w:r>
        <w:br/>
        <w:t>в пункте 2.12</w:t>
      </w:r>
      <w:r>
        <w:rPr>
          <w:vertAlign w:val="superscript"/>
        </w:rPr>
        <w:t>3</w:t>
      </w:r>
      <w:r>
        <w:t xml:space="preserve"> настоящего Порядка, принимает решение об от</w:t>
      </w:r>
      <w:r>
        <w:t xml:space="preserve">казе </w:t>
      </w:r>
      <w:r>
        <w:br/>
        <w:t xml:space="preserve">в предоставлении поощрительной части субсидии и возвращает в ТОС представленные документы с указанием основания (оснований) для отказа </w:t>
      </w:r>
      <w:r>
        <w:br/>
        <w:t xml:space="preserve">в предоставлении поощрительной части субсидии.»; </w:t>
      </w:r>
    </w:p>
    <w:p w:rsidR="00D06A62" w:rsidRDefault="00CF7894">
      <w:pPr>
        <w:pStyle w:val="ConsPlusNormal"/>
        <w:ind w:firstLine="720"/>
        <w:jc w:val="both"/>
      </w:pPr>
      <w:r>
        <w:t>1.10. пункт 2.13 дополнить абзацем следующего содержания:</w:t>
      </w:r>
    </w:p>
    <w:p w:rsidR="00D06A62" w:rsidRDefault="00CF7894">
      <w:pPr>
        <w:pStyle w:val="ConsPlusNormal"/>
        <w:ind w:firstLine="720"/>
        <w:jc w:val="both"/>
      </w:pPr>
      <w:r>
        <w:t>«В слу</w:t>
      </w:r>
      <w:r>
        <w:t xml:space="preserve">чае заключения дополнительного соглашения к договору </w:t>
      </w:r>
      <w:r>
        <w:br/>
        <w:t xml:space="preserve">по результатам распределения поощрительной части субсидии – поощрительная часть субсидии перечисляется главным распорядителем бюджетных средств </w:t>
      </w:r>
      <w:r>
        <w:br/>
        <w:t>на расчетный или корреспондентский счет Получателя субсид</w:t>
      </w:r>
      <w:r>
        <w:t xml:space="preserve">ии, открытый </w:t>
      </w:r>
      <w:r>
        <w:br/>
        <w:t xml:space="preserve">в учреждениях Центрального банка Российской Федерации или кредитных организациях, на основании предъявленного счета в течение 10 рабочих дней после подписания дополнительного соглашения к договору в размере 100 % </w:t>
      </w:r>
      <w:r>
        <w:br/>
        <w:t>от объема средств, предусмот</w:t>
      </w:r>
      <w:r>
        <w:t>ренных дополнительным соглашением к договору.».</w:t>
      </w:r>
    </w:p>
    <w:p w:rsidR="00D06A62" w:rsidRDefault="00CF78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</w:t>
      </w:r>
      <w:r>
        <w:rPr>
          <w:sz w:val="28"/>
          <w:szCs w:val="28"/>
        </w:rPr>
        <w:t>мь», за исключением абзаца второго пункта 1.8 настоящего постановления, который</w:t>
      </w:r>
      <w:r>
        <w:t xml:space="preserve"> </w:t>
      </w:r>
      <w:r>
        <w:rPr>
          <w:sz w:val="28"/>
          <w:szCs w:val="28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</w:t>
      </w:r>
      <w:r>
        <w:rPr>
          <w:sz w:val="28"/>
          <w:szCs w:val="28"/>
        </w:rPr>
        <w:t>д Пермь»</w:t>
      </w:r>
      <w:r>
        <w:t xml:space="preserve"> </w:t>
      </w:r>
      <w:r>
        <w:rPr>
          <w:sz w:val="28"/>
          <w:szCs w:val="28"/>
        </w:rPr>
        <w:t>и распространяет свое действие на правоотношения, возникшие с 01 июня 2023 г.</w:t>
      </w:r>
    </w:p>
    <w:p w:rsidR="00D06A62" w:rsidRDefault="00CF78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</w:t>
      </w:r>
      <w:r>
        <w:rPr>
          <w:sz w:val="28"/>
          <w:szCs w:val="28"/>
        </w:rPr>
        <w:t>нь органов местного самоуправления муниципального образования город Пермь».</w:t>
      </w:r>
    </w:p>
    <w:p w:rsidR="00D06A62" w:rsidRDefault="00CF78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официальном сайте муниципального образов</w:t>
      </w:r>
      <w:r>
        <w:rPr>
          <w:sz w:val="28"/>
          <w:szCs w:val="28"/>
        </w:rPr>
        <w:t xml:space="preserve">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D06A62" w:rsidRDefault="00CF78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на руководителя аппарата администрации города Перми Молоковских А.В.</w:t>
      </w:r>
    </w:p>
    <w:p w:rsidR="00D06A62" w:rsidRDefault="00D06A6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D06A62" w:rsidRDefault="00D06A6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D06A62" w:rsidRDefault="00D06A6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D06A62" w:rsidRDefault="00CF7894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 xml:space="preserve">                                                                                     Э.О. Соснин</w:t>
      </w:r>
    </w:p>
    <w:sectPr w:rsidR="00D06A62">
      <w:headerReference w:type="default" r:id="rId18"/>
      <w:pgSz w:w="11905" w:h="16838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62" w:rsidRDefault="00CF7894">
      <w:r>
        <w:separator/>
      </w:r>
    </w:p>
  </w:endnote>
  <w:endnote w:type="continuationSeparator" w:id="0">
    <w:p w:rsidR="00D06A62" w:rsidRDefault="00CF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62" w:rsidRDefault="00CF7894">
      <w:r>
        <w:separator/>
      </w:r>
    </w:p>
  </w:footnote>
  <w:footnote w:type="continuationSeparator" w:id="0">
    <w:p w:rsidR="00D06A62" w:rsidRDefault="00CF7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62" w:rsidRDefault="00CF7894">
    <w:pPr>
      <w:pStyle w:val="ab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rPr>
        <w:sz w:val="28"/>
        <w:szCs w:val="28"/>
      </w:rPr>
      <w:fldChar w:fldCharType="separate"/>
    </w:r>
    <w:r w:rsidRPr="00CF7894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D06A62" w:rsidRDefault="00D06A62">
    <w:pPr>
      <w:pStyle w:val="ab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62"/>
    <w:rsid w:val="00640B58"/>
    <w:rsid w:val="00CF7894"/>
    <w:rsid w:val="00D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B7973-3F0E-4566-B58C-3E8E7C7D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8E2ADD1A474EF10DF97A2F5A645A9ADA27271E051618FCA93375A86978A6CBCFBFF066A2957AD196931E2FB421211BE57812BB0BAD49324783352o8X6F" TargetMode="External"/><Relationship Id="rId13" Type="http://schemas.openxmlformats.org/officeDocument/2006/relationships/hyperlink" Target="consultantplus://offline/ref=9F98E2ADD1A474EF10DF97A2F5A645A9ADA27271E052608AC991375A86978A6CBCFBFF066A2957AD196931E6F6421211BE57812BB0BAD49324783352o8X6F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98E2ADD1A474EF10DF97A2F5A645A9ADA27271E8576285CB9D6A508ECE866EBBF4A0116D605BAC196931E3F81D1704AF0F8E2AADA5D48C387A31o5X2F" TargetMode="External"/><Relationship Id="rId12" Type="http://schemas.openxmlformats.org/officeDocument/2006/relationships/hyperlink" Target="consultantplus://offline/ref=9F98E2ADD1A474EF10DF97A2F5A645A9ADA27271E055628DC79F375A86978A6CBCFBFF066A2957AD196931E4F5421211BE57812BB0BAD49324783352o8X6F" TargetMode="External"/><Relationship Id="rId17" Type="http://schemas.openxmlformats.org/officeDocument/2006/relationships/hyperlink" Target="consultantplus://offline/ref=9F98E2ADD1A474EF10DF97A2F5A645A9ADA27271E0576785CB90375A86978A6CBCFBFF066A2957AD196931E6F6421211BE57812BB0BAD49324783352o8X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98E2ADD1A474EF10DF97A2F5A645A9ADA27271E0546189CC92375A86978A6CBCFBFF066A2957AD196931E4F2421211BE57812BB0BAD49324783352o8X6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F98E2ADD1A474EF10DF97A2F5A645A9ADA27271E0576788C794375A86978A6CBCFBFF066A2957AD196931E3F1421211BE57812BB0BAD49324783352o8X6F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F98E2ADD1A474EF10DF97A2F5A645A9ADA27271E0556B8ECA97375A86978A6CBCFBFF066A2957AD196931E6F6421211BE57812BB0BAD49324783352o8X6F" TargetMode="External"/><Relationship Id="rId10" Type="http://schemas.openxmlformats.org/officeDocument/2006/relationships/hyperlink" Target="consultantplus://offline/ref=9F98E2ADD1A474EF10DF97A2F5A645A9ADA27271E050618ACC9E375A86978A6CBCFBFF066A2957AD196931E6F6421211BE57812BB0BAD49324783352o8X6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98E2ADD1A474EF10DF97A2F5A645A9ADA27271E0516B88CC97375A86978A6CBCFBFF066A2957AD196931E6F6421211BE57812BB0BAD49324783352o8X6F" TargetMode="External"/><Relationship Id="rId14" Type="http://schemas.openxmlformats.org/officeDocument/2006/relationships/hyperlink" Target="consultantplus://offline/ref=9F98E2ADD1A474EF10DF97A2F5A645A9ADA27271E0556B88CE95375A86978A6CBCFBFF066A2957AD196931E6FA421211BE57812BB0BAD49324783352o8X6F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2023-09-21T09:46:00Z</dcterms:created>
  <dcterms:modified xsi:type="dcterms:W3CDTF">2023-09-21T09:46:00Z</dcterms:modified>
  <cp:version>983040</cp:version>
</cp:coreProperties>
</file>