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E21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2369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E21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23697">
                        <w:rPr>
                          <w:sz w:val="28"/>
                          <w:szCs w:val="28"/>
                          <w:u w:val="single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E21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E21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F17BB4" w:rsidRDefault="00F17BB4" w:rsidP="00025DB9">
      <w:pPr>
        <w:jc w:val="both"/>
        <w:rPr>
          <w:b/>
          <w:bCs/>
          <w:sz w:val="28"/>
          <w:szCs w:val="28"/>
        </w:rPr>
      </w:pPr>
    </w:p>
    <w:p w:rsidR="00F17BB4" w:rsidRDefault="00F17BB4" w:rsidP="00F17BB4">
      <w:pPr>
        <w:spacing w:before="48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Правила благоустройства территории </w:t>
      </w:r>
    </w:p>
    <w:p w:rsidR="00F17BB4" w:rsidRDefault="00F17BB4" w:rsidP="00F17BB4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города Перми, утвержденные решением Пермской городской Думы </w:t>
      </w:r>
    </w:p>
    <w:p w:rsidR="00F17BB4" w:rsidRDefault="00F17BB4" w:rsidP="00F17BB4">
      <w:pPr>
        <w:suppressAutoHyphens/>
        <w:spacing w:after="480"/>
        <w:jc w:val="center"/>
        <w:rPr>
          <w:b/>
          <w:sz w:val="28"/>
          <w:szCs w:val="28"/>
          <w:highlight w:val="yellow"/>
          <w:lang w:eastAsia="x-none"/>
        </w:rPr>
      </w:pPr>
      <w:r>
        <w:rPr>
          <w:b/>
          <w:sz w:val="28"/>
          <w:szCs w:val="28"/>
          <w:lang w:eastAsia="ar-SA"/>
        </w:rPr>
        <w:t>от 15.12.2020 № 277,</w:t>
      </w:r>
      <w:r>
        <w:rPr>
          <w:b/>
          <w:sz w:val="28"/>
          <w:szCs w:val="28"/>
          <w:lang w:eastAsia="x-none"/>
        </w:rPr>
        <w:t xml:space="preserve"> в части установления требований </w:t>
      </w:r>
      <w:r w:rsidR="00EE21A4">
        <w:rPr>
          <w:b/>
          <w:sz w:val="28"/>
          <w:szCs w:val="28"/>
          <w:lang w:eastAsia="x-none"/>
        </w:rPr>
        <w:br/>
      </w:r>
      <w:r>
        <w:rPr>
          <w:b/>
          <w:sz w:val="28"/>
          <w:szCs w:val="28"/>
          <w:lang w:eastAsia="x-none"/>
        </w:rPr>
        <w:t>к содержанию зеленых насаждений</w:t>
      </w:r>
    </w:p>
    <w:p w:rsidR="00F17BB4" w:rsidRDefault="00F17BB4" w:rsidP="00F17BB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Градостроительным кодексом Российской Федерации, Ф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F17BB4" w:rsidRDefault="00F17BB4" w:rsidP="00F17BB4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="00EE21A4" w:rsidRPr="00EE21A4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EE21A4">
        <w:rPr>
          <w:rFonts w:eastAsia="Calibri"/>
          <w:b/>
          <w:sz w:val="28"/>
          <w:szCs w:val="28"/>
          <w:lang w:eastAsia="en-US"/>
        </w:rPr>
        <w:t xml:space="preserve"> </w:t>
      </w:r>
      <w:r w:rsidR="00EE21A4" w:rsidRPr="00EE21A4">
        <w:rPr>
          <w:rFonts w:eastAsia="Calibri"/>
          <w:b/>
          <w:sz w:val="28"/>
          <w:szCs w:val="28"/>
          <w:lang w:eastAsia="en-US"/>
        </w:rPr>
        <w:t>е</w:t>
      </w:r>
      <w:r w:rsidR="00EE21A4">
        <w:rPr>
          <w:rFonts w:eastAsia="Calibri"/>
          <w:b/>
          <w:sz w:val="28"/>
          <w:szCs w:val="28"/>
          <w:lang w:eastAsia="en-US"/>
        </w:rPr>
        <w:t xml:space="preserve"> </w:t>
      </w:r>
      <w:r w:rsidR="00EE21A4" w:rsidRPr="00EE21A4">
        <w:rPr>
          <w:rFonts w:eastAsia="Calibri"/>
          <w:b/>
          <w:sz w:val="28"/>
          <w:szCs w:val="28"/>
          <w:lang w:eastAsia="en-US"/>
        </w:rPr>
        <w:t>ш</w:t>
      </w:r>
      <w:r w:rsidR="00EE21A4">
        <w:rPr>
          <w:rFonts w:eastAsia="Calibri"/>
          <w:b/>
          <w:sz w:val="28"/>
          <w:szCs w:val="28"/>
          <w:lang w:eastAsia="en-US"/>
        </w:rPr>
        <w:t xml:space="preserve"> </w:t>
      </w:r>
      <w:r w:rsidR="00EE21A4" w:rsidRPr="00EE21A4">
        <w:rPr>
          <w:rFonts w:eastAsia="Calibri"/>
          <w:b/>
          <w:sz w:val="28"/>
          <w:szCs w:val="28"/>
          <w:lang w:eastAsia="en-US"/>
        </w:rPr>
        <w:t>и</w:t>
      </w:r>
      <w:r w:rsidR="00EE21A4">
        <w:rPr>
          <w:rFonts w:eastAsia="Calibri"/>
          <w:b/>
          <w:sz w:val="28"/>
          <w:szCs w:val="28"/>
          <w:lang w:eastAsia="en-US"/>
        </w:rPr>
        <w:t xml:space="preserve"> </w:t>
      </w:r>
      <w:r w:rsidR="00EE21A4" w:rsidRPr="00EE21A4">
        <w:rPr>
          <w:rFonts w:eastAsia="Calibri"/>
          <w:b/>
          <w:sz w:val="28"/>
          <w:szCs w:val="28"/>
          <w:lang w:eastAsia="en-US"/>
        </w:rPr>
        <w:t>л</w:t>
      </w:r>
      <w:r w:rsidR="00EE21A4">
        <w:rPr>
          <w:rFonts w:eastAsia="Calibri"/>
          <w:b/>
          <w:sz w:val="28"/>
          <w:szCs w:val="28"/>
          <w:lang w:eastAsia="en-US"/>
        </w:rPr>
        <w:t xml:space="preserve"> </w:t>
      </w:r>
      <w:r w:rsidR="00EE21A4" w:rsidRPr="00EE21A4">
        <w:rPr>
          <w:rFonts w:eastAsia="Calibri"/>
          <w:b/>
          <w:sz w:val="28"/>
          <w:szCs w:val="28"/>
          <w:lang w:eastAsia="en-US"/>
        </w:rPr>
        <w:t>а: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Внести в Правила благоустройства территории города Перми, утве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жденные решением Пермской городской Думы от 15.12.2020 № 277 (в редакции решений Пермской городской Думы от 24.02.2021 № 40, от 27.04.2021 № 102, от 24.08.2021 № 18</w:t>
      </w:r>
      <w:r w:rsidR="00004B4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, от 24.08.2021 № 18</w:t>
      </w:r>
      <w:r w:rsidR="00004B4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, от 21.12.2021 № 307, от 26.04.2022 № 81, от 26.04.2022 № 82, от 28.06.2022 № 144, от 23.08.2022 № 171, от 23.08.2022 № 173, от 23.08.2022 № 174, от 25.10.2022 № 233, от 15.11.2022 № 257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от 20.12.2022 № 271, от 20.12.2022 № 276, от 20.12.2022 № 280, от 24.01.2023 № 10, от 27.06.2023 № 117, </w:t>
      </w:r>
      <w:r w:rsidR="008034E8">
        <w:rPr>
          <w:rFonts w:eastAsia="Calibri"/>
          <w:sz w:val="28"/>
          <w:szCs w:val="28"/>
          <w:lang w:eastAsia="en-US"/>
        </w:rPr>
        <w:t xml:space="preserve">от 22.08.2023 № 161, </w:t>
      </w:r>
      <w:r>
        <w:rPr>
          <w:rFonts w:eastAsia="Calibri"/>
          <w:sz w:val="28"/>
          <w:szCs w:val="28"/>
          <w:lang w:eastAsia="en-US"/>
        </w:rPr>
        <w:t>от 26.09.2023 № 181, от</w:t>
      </w:r>
      <w:r w:rsidR="008034E8">
        <w:rPr>
          <w:rFonts w:eastAsia="Calibri"/>
        </w:rPr>
        <w:t> </w:t>
      </w:r>
      <w:r>
        <w:rPr>
          <w:rFonts w:eastAsia="Calibri"/>
          <w:sz w:val="28"/>
          <w:szCs w:val="28"/>
          <w:lang w:eastAsia="en-US"/>
        </w:rPr>
        <w:t>26.09.2023 № 182, от 26.09.2023 № 188, от 26.09.2023 № 189, от 26.09.2023 №</w:t>
      </w:r>
      <w:r w:rsidR="008034E8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199</w:t>
      </w:r>
      <w:r w:rsidR="00276E90">
        <w:rPr>
          <w:rFonts w:eastAsia="Calibri"/>
          <w:sz w:val="28"/>
          <w:szCs w:val="28"/>
          <w:lang w:eastAsia="en-US"/>
        </w:rPr>
        <w:t xml:space="preserve">, </w:t>
      </w:r>
      <w:r w:rsidR="00276E90" w:rsidRPr="00276E90">
        <w:rPr>
          <w:rFonts w:eastAsia="Calibri"/>
          <w:sz w:val="28"/>
          <w:szCs w:val="28"/>
          <w:lang w:eastAsia="en-US"/>
        </w:rPr>
        <w:t xml:space="preserve">от 19.12.2023 </w:t>
      </w:r>
      <w:r w:rsidR="00276E90">
        <w:rPr>
          <w:rFonts w:eastAsia="Calibri"/>
          <w:sz w:val="28"/>
          <w:szCs w:val="28"/>
          <w:lang w:eastAsia="en-US"/>
        </w:rPr>
        <w:t>№ </w:t>
      </w:r>
      <w:r w:rsidR="00276E90" w:rsidRPr="00276E90">
        <w:rPr>
          <w:rFonts w:eastAsia="Calibri"/>
          <w:sz w:val="28"/>
          <w:szCs w:val="28"/>
          <w:lang w:eastAsia="en-US"/>
        </w:rPr>
        <w:t>277</w:t>
      </w:r>
      <w:r>
        <w:rPr>
          <w:rFonts w:eastAsia="Calibri"/>
          <w:sz w:val="28"/>
          <w:szCs w:val="28"/>
          <w:lang w:eastAsia="en-US"/>
        </w:rPr>
        <w:t xml:space="preserve">), изменения: </w:t>
      </w:r>
      <w:proofErr w:type="gramEnd"/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 в подпункте 2.1.11 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1.1.1 слова «газон с разнотравьем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исключить</w:t>
      </w:r>
      <w:r w:rsidR="00276E90" w:rsidRPr="00276E90">
        <w:rPr>
          <w:rFonts w:eastAsia="Calibri"/>
          <w:sz w:val="28"/>
          <w:szCs w:val="28"/>
          <w:lang w:eastAsia="en-US"/>
        </w:rPr>
        <w:t>, знак «;» заменить зн</w:t>
      </w:r>
      <w:r w:rsidR="00276E90" w:rsidRPr="00276E90">
        <w:rPr>
          <w:rFonts w:eastAsia="Calibri"/>
          <w:sz w:val="28"/>
          <w:szCs w:val="28"/>
          <w:lang w:eastAsia="en-US"/>
        </w:rPr>
        <w:t>а</w:t>
      </w:r>
      <w:r w:rsidR="00276E90" w:rsidRPr="00276E90">
        <w:rPr>
          <w:rFonts w:eastAsia="Calibri"/>
          <w:sz w:val="28"/>
          <w:szCs w:val="28"/>
          <w:lang w:eastAsia="en-US"/>
        </w:rPr>
        <w:t>ком</w:t>
      </w:r>
      <w:r w:rsidR="00276E90">
        <w:rPr>
          <w:rFonts w:eastAsia="Calibri"/>
          <w:sz w:val="28"/>
          <w:szCs w:val="28"/>
          <w:lang w:eastAsia="en-US"/>
        </w:rPr>
        <w:t> </w:t>
      </w:r>
      <w:r w:rsidR="00276E90" w:rsidRPr="00276E90">
        <w:rPr>
          <w:rFonts w:eastAsia="Calibri"/>
          <w:sz w:val="28"/>
          <w:szCs w:val="28"/>
          <w:lang w:eastAsia="en-US"/>
        </w:rPr>
        <w:t>«:»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1.1.2 дополнить подпунктами 2.1.11.1-2.1.11.5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«2.1.11.1 газон луговой – естественный травяной покров, не требующий обязательного выкашивания, полива и уборки листвы, допускающий хождение, игры и отдых на траве; 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</w:pPr>
      <w:r>
        <w:rPr>
          <w:rFonts w:eastAsia="Calibri"/>
          <w:sz w:val="28"/>
          <w:szCs w:val="28"/>
          <w:lang w:eastAsia="en-US"/>
        </w:rPr>
        <w:t>2.1.11.2 газон партерный –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газон, создаваемый в наиболее парадных местах объекта озеленения, однородный по окраске, густоте травостоя; 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2.1.11.3 газон обыкновенный – газон, состоящий из смеси специальных г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зонных злаков</w:t>
      </w:r>
      <w:r>
        <w:rPr>
          <w:rFonts w:eastAsia="Malgun Gothic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 возможным добавлением клевера ползучего, гибридного и луг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вого, отличающийся устойчивостью к </w:t>
      </w:r>
      <w:proofErr w:type="spellStart"/>
      <w:r>
        <w:rPr>
          <w:rFonts w:eastAsia="Calibri"/>
          <w:sz w:val="28"/>
          <w:szCs w:val="28"/>
          <w:lang w:eastAsia="en-US"/>
        </w:rPr>
        <w:t>вытаптыванию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предназначенный для оз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ленения территории;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2.1.11.4 газон мавританский (цветущий) –</w:t>
      </w:r>
      <w:r>
        <w:rPr>
          <w:rFonts w:eastAsia="Malgun Gothic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высокодекоративный цветущий покров из злаковых и цветочных растений, создаваемый посевом семян злаковых трав с добавлением местных видов однолетних или многолетних цветочных ра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тений; 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2.1.11.5 газон спортивный – газон на дренирующем основании для спорти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ных площадок, создаваемый посевом семян газонных трав, устойчивых к </w:t>
      </w:r>
      <w:proofErr w:type="spellStart"/>
      <w:r>
        <w:rPr>
          <w:rFonts w:eastAsia="Calibri"/>
          <w:sz w:val="28"/>
          <w:szCs w:val="28"/>
          <w:lang w:eastAsia="en-US"/>
        </w:rPr>
        <w:t>выта</w:t>
      </w:r>
      <w:r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тыванию</w:t>
      </w:r>
      <w:proofErr w:type="spellEnd"/>
      <w:proofErr w:type="gramStart"/>
      <w:r>
        <w:rPr>
          <w:rFonts w:eastAsia="Calibri"/>
          <w:sz w:val="28"/>
          <w:szCs w:val="28"/>
          <w:lang w:eastAsia="en-US"/>
        </w:rPr>
        <w:t>;»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 подпункт 3.5.3 изложить в редакции: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«3.5.3 высота травостоя на газонах всех видов, расположенных на террит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рии общего пользования, должна соответствовать допустимой высоте травостоя, установленной Показателями </w:t>
      </w:r>
      <w:proofErr w:type="gramStart"/>
      <w:r>
        <w:rPr>
          <w:rFonts w:eastAsia="Calibri"/>
          <w:sz w:val="28"/>
          <w:szCs w:val="28"/>
          <w:lang w:eastAsia="en-US"/>
        </w:rPr>
        <w:t>состояния элементов благоустройства объектов оз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ленения общего пользования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территории города Перми (приложение 17</w:t>
      </w:r>
      <w:r w:rsidR="00276E90" w:rsidRPr="00276E90">
        <w:t xml:space="preserve"> </w:t>
      </w:r>
      <w:r w:rsidR="00276E90" w:rsidRPr="00276E90">
        <w:rPr>
          <w:rFonts w:eastAsia="Calibri"/>
          <w:sz w:val="28"/>
          <w:szCs w:val="28"/>
          <w:lang w:eastAsia="en-US"/>
        </w:rPr>
        <w:t>к Пр</w:t>
      </w:r>
      <w:r w:rsidR="00276E90" w:rsidRPr="00276E90">
        <w:rPr>
          <w:rFonts w:eastAsia="Calibri"/>
          <w:sz w:val="28"/>
          <w:szCs w:val="28"/>
          <w:lang w:eastAsia="en-US"/>
        </w:rPr>
        <w:t>а</w:t>
      </w:r>
      <w:r w:rsidR="00276E90" w:rsidRPr="00276E90">
        <w:rPr>
          <w:rFonts w:eastAsia="Calibri"/>
          <w:sz w:val="28"/>
          <w:szCs w:val="28"/>
          <w:lang w:eastAsia="en-US"/>
        </w:rPr>
        <w:t>вилам</w:t>
      </w:r>
      <w:r>
        <w:rPr>
          <w:rFonts w:eastAsia="Calibri"/>
          <w:sz w:val="28"/>
          <w:szCs w:val="28"/>
          <w:lang w:eastAsia="en-US"/>
        </w:rPr>
        <w:t xml:space="preserve">) в отношении газонов соответствующих видов. Уборка скошенной травы осуществляется не </w:t>
      </w:r>
      <w:proofErr w:type="gramStart"/>
      <w:r>
        <w:rPr>
          <w:rFonts w:eastAsia="Calibri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на следующий день после дня завершения работ по ее кошению.»; 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 абзац двадцать седьмой пункта 3.10 дополнить словами «за исключен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ем газонов, которые оборудованы системой автоматического полива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 в абзаце четвертом пункта 9.6 слова «, особо охраняемых природных территорий» исключить;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 абзацы первый, второй пункта 12.2 изложить в редакции: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«12.2. Содержание зеленых насаждений включает комплекс работ по обр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ботке почвы, высадке зеленых насаждений, поливу зеленых насаждений, внес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нию удобрений, обрезке крон деревьев и кустарников, защите от вредителей и б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лезней, предотвращению распространения борщевика Сосновского, клена амер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канского, сносу зеленых насаждений и иных мероприятий по содержанию зел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ных насаждений, которое осуществляется: 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 земельных участках, находящихся в муниципальной собственности, з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мельных участках (землях), государственная собственность на которые не разгр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ничена, земельных участках (землях), не принадлежащих на праве собственности, ином вещном либо обязательственном праве физическим и (или) юридическим лицам, включая зеленые насаждения на объектах озеленения общего пользования города Перми, в границах полосы отвода автомобильных дорог общего пользов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ния местного значения города Перми – функциональными органами администр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ции города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Перми, осуществляющими функции управления в сфере благоустро</w:t>
      </w:r>
      <w:r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>ства, экологии и природопользования, территориальными органами администр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ции города Перми в пределах установленной компетенции</w:t>
      </w:r>
      <w:proofErr w:type="gramStart"/>
      <w:r>
        <w:rPr>
          <w:rFonts w:eastAsia="Calibri"/>
          <w:sz w:val="28"/>
          <w:szCs w:val="28"/>
          <w:lang w:eastAsia="en-US"/>
        </w:rPr>
        <w:t>,»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 дополнить подпунктом 12.4.6 следующего содержания: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454C1" w:rsidRPr="007454C1">
        <w:rPr>
          <w:rFonts w:eastAsia="Calibri"/>
          <w:sz w:val="28"/>
          <w:szCs w:val="28"/>
          <w:lang w:eastAsia="en-US"/>
        </w:rPr>
        <w:t>12.4.</w:t>
      </w:r>
      <w:r w:rsidR="007454C1" w:rsidRPr="008034E8">
        <w:rPr>
          <w:rFonts w:eastAsia="Calibri"/>
          <w:sz w:val="28"/>
          <w:szCs w:val="28"/>
          <w:lang w:eastAsia="en-US"/>
        </w:rPr>
        <w:t>6</w:t>
      </w:r>
      <w:r w:rsidR="007454C1" w:rsidRPr="007454C1">
        <w:rPr>
          <w:rFonts w:eastAsia="Calibri"/>
          <w:sz w:val="28"/>
          <w:szCs w:val="28"/>
          <w:lang w:eastAsia="en-US"/>
        </w:rPr>
        <w:t xml:space="preserve"> озеленение территории общего пользования осуществляется в соо</w:t>
      </w:r>
      <w:r w:rsidR="007454C1" w:rsidRPr="007454C1">
        <w:rPr>
          <w:rFonts w:eastAsia="Calibri"/>
          <w:sz w:val="28"/>
          <w:szCs w:val="28"/>
          <w:lang w:eastAsia="en-US"/>
        </w:rPr>
        <w:t>т</w:t>
      </w:r>
      <w:r w:rsidR="007454C1" w:rsidRPr="007454C1">
        <w:rPr>
          <w:rFonts w:eastAsia="Calibri"/>
          <w:sz w:val="28"/>
          <w:szCs w:val="28"/>
          <w:lang w:eastAsia="en-US"/>
        </w:rPr>
        <w:t>ветствии с Концепцией развития озеленённых территорий города Перми, утве</w:t>
      </w:r>
      <w:r w:rsidR="007454C1" w:rsidRPr="007454C1">
        <w:rPr>
          <w:rFonts w:eastAsia="Calibri"/>
          <w:sz w:val="28"/>
          <w:szCs w:val="28"/>
          <w:lang w:eastAsia="en-US"/>
        </w:rPr>
        <w:t>р</w:t>
      </w:r>
      <w:r w:rsidR="007454C1" w:rsidRPr="007454C1">
        <w:rPr>
          <w:rFonts w:eastAsia="Calibri"/>
          <w:sz w:val="28"/>
          <w:szCs w:val="28"/>
          <w:lang w:eastAsia="en-US"/>
        </w:rPr>
        <w:t>жденной правовым актом администрации города Перми, включающей перечень мероприятий, направленных на совершенствование системы озеленения террит</w:t>
      </w:r>
      <w:r w:rsidR="007454C1" w:rsidRPr="007454C1">
        <w:rPr>
          <w:rFonts w:eastAsia="Calibri"/>
          <w:sz w:val="28"/>
          <w:szCs w:val="28"/>
          <w:lang w:eastAsia="en-US"/>
        </w:rPr>
        <w:t>о</w:t>
      </w:r>
      <w:r w:rsidR="007454C1" w:rsidRPr="007454C1">
        <w:rPr>
          <w:rFonts w:eastAsia="Calibri"/>
          <w:sz w:val="28"/>
          <w:szCs w:val="28"/>
          <w:lang w:eastAsia="en-US"/>
        </w:rPr>
        <w:t>рии общего пользования в целях обеспечения благоприятной окружающей среды городского пространства</w:t>
      </w:r>
      <w:proofErr w:type="gramStart"/>
      <w:r w:rsidR="007454C1" w:rsidRPr="007454C1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 абзац первый пункта 12.10 изложить в редакции: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«12.10. Порядок расчета восстановительной стоимости зеленых насаждений определяется в соответствии с действующим законодательством</w:t>
      </w:r>
      <w:proofErr w:type="gramStart"/>
      <w:r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 в Порядке сноса и выполнения компенсационных посадок зеленых насаждений на территории города Перми (приложение 5):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1.8.1 абзацы второй, третий пункта 1.1 изложить в редакции: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«Настоящий Порядок (далее – Порядок) разработан в целях обеспечения единых требований к сносу зеленых насаждений на территории города Перми (за исключением зеленых насаждений на земельных участках, находящихся в го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ударственной собственности Пермского края, на земельных участках, занятых индивидуальной жилой застройкой, садовых, огородных, дачных и приусадебных земельных участках, зеленых насаждений в городских лесах).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не распространяется на случаи сноса зеленых насаждений, прои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водимого на действующих местах погребения (в части компенсационного озел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нения (уплаты восстановительной стоимости зеленых насаждений)), при ликв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дации аварий и последствий чрезвычайных ситуаций природного и техногенного характера, а также в случае</w:t>
      </w:r>
      <w:r w:rsidR="007454C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если снос зеленых насаждений регулируется нормами федерального законодательства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.»; </w:t>
      </w:r>
      <w:proofErr w:type="gramEnd"/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1.8.2 абзац первый пункта 1.2 изложить в редакции: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«1.2. Ущерб, причиненный в результате сноса зеленых насаждений, подл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жит возмещению в форме выплаты восстановительной стоимости, порядок расч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та которой определяется в соответствии с действующим законодательством.»;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1.9 в Показателях </w:t>
      </w:r>
      <w:proofErr w:type="gramStart"/>
      <w:r>
        <w:rPr>
          <w:rFonts w:eastAsia="Calibri"/>
          <w:sz w:val="28"/>
          <w:szCs w:val="28"/>
          <w:lang w:eastAsia="en-US"/>
        </w:rPr>
        <w:t>состояния элементов благоустройства объектов озелен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ния общего пользования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территории города Перми (приложение 17): 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1.9.1 подпункт 1.3.1 изложить в редакции:</w:t>
      </w:r>
    </w:p>
    <w:p w:rsidR="00F17BB4" w:rsidRDefault="00F17BB4" w:rsidP="007454C1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998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701"/>
        <w:gridCol w:w="7371"/>
      </w:tblGrid>
      <w:tr w:rsidR="00F17BB4" w:rsidTr="007454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1" w:rsidRDefault="00F17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Допустимая высота </w:t>
            </w:r>
          </w:p>
          <w:p w:rsidR="00F17BB4" w:rsidRDefault="00F17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травостоя: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1.9.2 дополнить подпунктами 1.3.1.1-1.3.1.5 следующего содержания:</w:t>
      </w:r>
    </w:p>
    <w:p w:rsidR="00F17BB4" w:rsidRDefault="00F17BB4" w:rsidP="007454C1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701"/>
        <w:gridCol w:w="1559"/>
        <w:gridCol w:w="1843"/>
        <w:gridCol w:w="1984"/>
        <w:gridCol w:w="1985"/>
      </w:tblGrid>
      <w:tr w:rsidR="00F17BB4" w:rsidTr="007454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1" w:rsidRDefault="008034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7BB4">
              <w:rPr>
                <w:sz w:val="28"/>
                <w:szCs w:val="28"/>
              </w:rPr>
              <w:t xml:space="preserve">азон </w:t>
            </w:r>
          </w:p>
          <w:p w:rsidR="00F17BB4" w:rsidRDefault="00F17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партерный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см</w:t>
            </w:r>
          </w:p>
        </w:tc>
      </w:tr>
      <w:tr w:rsidR="00F17BB4" w:rsidTr="007454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8034E8" w:rsidP="008034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7BB4">
              <w:rPr>
                <w:sz w:val="28"/>
                <w:szCs w:val="28"/>
              </w:rPr>
              <w:t>азон обы</w:t>
            </w:r>
            <w:r w:rsidR="00F17BB4">
              <w:rPr>
                <w:sz w:val="28"/>
                <w:szCs w:val="28"/>
              </w:rPr>
              <w:t>к</w:t>
            </w:r>
            <w:r w:rsidR="00F17BB4">
              <w:rPr>
                <w:sz w:val="28"/>
                <w:szCs w:val="28"/>
              </w:rPr>
              <w:t>новенный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см</w:t>
            </w:r>
          </w:p>
        </w:tc>
      </w:tr>
      <w:tr w:rsidR="00F17BB4" w:rsidTr="007454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1" w:rsidRDefault="008034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7BB4">
              <w:rPr>
                <w:sz w:val="28"/>
                <w:szCs w:val="28"/>
              </w:rPr>
              <w:t xml:space="preserve">азон </w:t>
            </w:r>
          </w:p>
          <w:p w:rsidR="00F17BB4" w:rsidRDefault="00F17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ливается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 w:rsidP="007454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вается</w:t>
            </w:r>
          </w:p>
        </w:tc>
      </w:tr>
      <w:tr w:rsidR="00F17BB4" w:rsidTr="007454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8034E8" w:rsidP="008034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7BB4">
              <w:rPr>
                <w:sz w:val="28"/>
                <w:szCs w:val="28"/>
              </w:rPr>
              <w:t>азон мавр</w:t>
            </w:r>
            <w:r w:rsidR="00F17BB4">
              <w:rPr>
                <w:sz w:val="28"/>
                <w:szCs w:val="28"/>
              </w:rPr>
              <w:t>и</w:t>
            </w:r>
            <w:r w:rsidR="00F17BB4">
              <w:rPr>
                <w:sz w:val="28"/>
                <w:szCs w:val="28"/>
              </w:rPr>
              <w:t>танский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ливается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вается</w:t>
            </w:r>
          </w:p>
        </w:tc>
      </w:tr>
      <w:tr w:rsidR="00F17BB4" w:rsidTr="007454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C1" w:rsidRDefault="008034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7BB4">
              <w:rPr>
                <w:sz w:val="28"/>
                <w:szCs w:val="28"/>
              </w:rPr>
              <w:t xml:space="preserve">азон </w:t>
            </w:r>
          </w:p>
          <w:p w:rsidR="00F17BB4" w:rsidRDefault="00F17B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см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см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см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4 см </w:t>
            </w:r>
          </w:p>
          <w:p w:rsidR="00F17BB4" w:rsidRDefault="00F17B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см </w:t>
            </w:r>
          </w:p>
        </w:tc>
      </w:tr>
    </w:tbl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»;</w:t>
      </w:r>
    </w:p>
    <w:p w:rsidR="00F17BB4" w:rsidRDefault="00F17BB4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1.10 в Требованиях к обустройству территорий речных долин, особо охр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няемых природных территорий местного значения, городских лесов (прилож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lastRenderedPageBreak/>
        <w:t>ние 19) абзац восемнадцатый пункта 3 после слова «возможно» дополнить слов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ми «при строительстве, реконструкции, капитальном и текущем ремонте покр</w:t>
      </w:r>
      <w:r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тия пешеходных улиц вдоль кромок оврагов, лесов, парков, речных долин, </w:t>
      </w:r>
      <w:r w:rsidR="007454C1" w:rsidRPr="007454C1">
        <w:rPr>
          <w:rFonts w:eastAsia="Calibri"/>
          <w:sz w:val="28"/>
          <w:szCs w:val="28"/>
          <w:lang w:eastAsia="en-US"/>
        </w:rPr>
        <w:t>опис</w:t>
      </w:r>
      <w:r w:rsidR="007454C1" w:rsidRPr="007454C1">
        <w:rPr>
          <w:rFonts w:eastAsia="Calibri"/>
          <w:sz w:val="28"/>
          <w:szCs w:val="28"/>
          <w:lang w:eastAsia="en-US"/>
        </w:rPr>
        <w:t>а</w:t>
      </w:r>
      <w:r w:rsidR="007454C1" w:rsidRPr="007454C1">
        <w:rPr>
          <w:rFonts w:eastAsia="Calibri"/>
          <w:sz w:val="28"/>
          <w:szCs w:val="28"/>
          <w:lang w:eastAsia="en-US"/>
        </w:rPr>
        <w:t>ние основных характеристик которых содержится в Генеральном плане города Перми</w:t>
      </w:r>
      <w:r>
        <w:rPr>
          <w:rFonts w:eastAsia="Calibri"/>
          <w:sz w:val="28"/>
          <w:szCs w:val="28"/>
          <w:lang w:eastAsia="en-US"/>
        </w:rPr>
        <w:t xml:space="preserve">,». </w:t>
      </w:r>
      <w:proofErr w:type="gramEnd"/>
    </w:p>
    <w:p w:rsidR="00C96205" w:rsidRPr="00C96205" w:rsidRDefault="00C96205" w:rsidP="00C96205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05">
        <w:rPr>
          <w:rFonts w:eastAsia="Calibri"/>
          <w:sz w:val="28"/>
          <w:szCs w:val="28"/>
          <w:lang w:eastAsia="en-US"/>
        </w:rPr>
        <w:t>2. Рекомендовать администрации города Перми до 01.08.2024:</w:t>
      </w:r>
    </w:p>
    <w:p w:rsidR="00C96205" w:rsidRPr="00C96205" w:rsidRDefault="00C96205" w:rsidP="00C96205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96205">
        <w:rPr>
          <w:rFonts w:eastAsia="Calibri"/>
          <w:sz w:val="28"/>
          <w:szCs w:val="28"/>
          <w:lang w:eastAsia="en-US"/>
        </w:rPr>
        <w:t>2.1 разработать проект решения Пермской городской Думы, предусматр</w:t>
      </w:r>
      <w:r w:rsidRPr="00C96205">
        <w:rPr>
          <w:rFonts w:eastAsia="Calibri"/>
          <w:sz w:val="28"/>
          <w:szCs w:val="28"/>
          <w:lang w:eastAsia="en-US"/>
        </w:rPr>
        <w:t>и</w:t>
      </w:r>
      <w:r w:rsidRPr="00C96205">
        <w:rPr>
          <w:rFonts w:eastAsia="Calibri"/>
          <w:sz w:val="28"/>
          <w:szCs w:val="28"/>
          <w:lang w:eastAsia="en-US"/>
        </w:rPr>
        <w:t>вающий внесение изменений в Правила благоустройства территории города Пер-ми, утвержденные решением Пермской городской Думы от 15.12.2020 № 277, в</w:t>
      </w:r>
      <w:r>
        <w:rPr>
          <w:rFonts w:eastAsia="Calibri"/>
          <w:sz w:val="28"/>
          <w:szCs w:val="28"/>
          <w:lang w:eastAsia="en-US"/>
        </w:rPr>
        <w:t> </w:t>
      </w:r>
      <w:r w:rsidRPr="00C96205">
        <w:rPr>
          <w:rFonts w:eastAsia="Calibri"/>
          <w:sz w:val="28"/>
          <w:szCs w:val="28"/>
          <w:lang w:eastAsia="en-US"/>
        </w:rPr>
        <w:t>части установления требований к содержанию газонов, расположенных на те</w:t>
      </w:r>
      <w:r>
        <w:rPr>
          <w:rFonts w:eastAsia="Calibri"/>
          <w:sz w:val="28"/>
          <w:szCs w:val="28"/>
          <w:lang w:eastAsia="en-US"/>
        </w:rPr>
        <w:t>р</w:t>
      </w:r>
      <w:r w:rsidRPr="00C96205">
        <w:rPr>
          <w:rFonts w:eastAsia="Calibri"/>
          <w:sz w:val="28"/>
          <w:szCs w:val="28"/>
          <w:lang w:eastAsia="en-US"/>
        </w:rPr>
        <w:t>риториях, не относящихся к территориям общего пользования, и обеспечить его внесение на рассмотрение Пермской городской Думы;</w:t>
      </w:r>
      <w:proofErr w:type="gramEnd"/>
    </w:p>
    <w:p w:rsidR="00C96205" w:rsidRDefault="00C96205" w:rsidP="00C96205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05">
        <w:rPr>
          <w:rFonts w:eastAsia="Calibri"/>
          <w:sz w:val="28"/>
          <w:szCs w:val="28"/>
          <w:lang w:eastAsia="en-US"/>
        </w:rPr>
        <w:t>2.2 утвердить Концепцию развития озелененных территорий города Перми.</w:t>
      </w:r>
    </w:p>
    <w:p w:rsidR="00F17BB4" w:rsidRDefault="00C96205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17BB4">
        <w:rPr>
          <w:rFonts w:eastAsia="Calibri"/>
          <w:sz w:val="28"/>
          <w:szCs w:val="28"/>
          <w:lang w:eastAsia="en-US"/>
        </w:rPr>
        <w:t>. Настоящее решение вступает в силу со дня его официального опублик</w:t>
      </w:r>
      <w:r w:rsidR="00F17BB4">
        <w:rPr>
          <w:rFonts w:eastAsia="Calibri"/>
          <w:sz w:val="28"/>
          <w:szCs w:val="28"/>
          <w:lang w:eastAsia="en-US"/>
        </w:rPr>
        <w:t>о</w:t>
      </w:r>
      <w:r w:rsidR="00F17BB4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="00F17BB4">
        <w:rPr>
          <w:rFonts w:eastAsia="Calibri"/>
          <w:sz w:val="28"/>
          <w:szCs w:val="28"/>
          <w:lang w:eastAsia="en-US"/>
        </w:rPr>
        <w:t>р</w:t>
      </w:r>
      <w:r w:rsidR="00F17BB4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F17BB4" w:rsidRDefault="00C96205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17BB4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</w:t>
      </w:r>
      <w:r w:rsidR="00F17BB4">
        <w:rPr>
          <w:rFonts w:eastAsia="Calibri"/>
          <w:sz w:val="28"/>
          <w:szCs w:val="28"/>
          <w:lang w:eastAsia="en-US"/>
        </w:rPr>
        <w:t>р</w:t>
      </w:r>
      <w:r w:rsidR="00F17BB4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="00F17BB4">
        <w:rPr>
          <w:rFonts w:eastAsia="Calibri"/>
          <w:sz w:val="28"/>
          <w:szCs w:val="28"/>
          <w:lang w:eastAsia="en-US"/>
        </w:rPr>
        <w:t>ь</w:t>
      </w:r>
      <w:r w:rsidR="00F17BB4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F17BB4">
        <w:rPr>
          <w:rFonts w:eastAsia="Calibri"/>
          <w:sz w:val="28"/>
          <w:szCs w:val="28"/>
          <w:lang w:eastAsia="en-US"/>
        </w:rPr>
        <w:t>н</w:t>
      </w:r>
      <w:r w:rsidR="00F17BB4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F17BB4" w:rsidRDefault="00C96205" w:rsidP="00F17BB4">
      <w:pPr>
        <w:autoSpaceDE w:val="0"/>
        <w:autoSpaceDN w:val="0"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F17BB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F17BB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F17BB4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17BB4" w:rsidRDefault="00F17BB4" w:rsidP="00F17BB4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F17BB4" w:rsidRDefault="00F17BB4" w:rsidP="00F17B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Пермской городской Думы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Д.В. Малютин</w:t>
      </w:r>
    </w:p>
    <w:p w:rsidR="00F17BB4" w:rsidRDefault="00F17BB4" w:rsidP="00F17BB4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Глава города Перми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Э.О. Соснин</w:t>
      </w:r>
    </w:p>
    <w:p w:rsidR="00897D8E" w:rsidRPr="00F17BB4" w:rsidRDefault="00897D8E" w:rsidP="00F17BB4">
      <w:pPr>
        <w:rPr>
          <w:sz w:val="28"/>
          <w:szCs w:val="28"/>
        </w:rPr>
      </w:pPr>
    </w:p>
    <w:sectPr w:rsidR="00897D8E" w:rsidRPr="00F17BB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23697">
      <w:rPr>
        <w:noProof/>
        <w:snapToGrid w:val="0"/>
        <w:sz w:val="16"/>
      </w:rPr>
      <w:t>27.02.2024 13:56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23697">
      <w:rPr>
        <w:noProof/>
        <w:snapToGrid w:val="0"/>
        <w:sz w:val="16"/>
      </w:rPr>
      <w:t>255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99179"/>
      <w:docPartObj>
        <w:docPartGallery w:val="Page Numbers (Top of Page)"/>
        <w:docPartUnique/>
      </w:docPartObj>
    </w:sdtPr>
    <w:sdtEndPr/>
    <w:sdtContent>
      <w:p w:rsidR="00F17BB4" w:rsidRDefault="00F17B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69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iICAc5fX/RdGvtiBPDQwwUFlK0=" w:salt="6XlSDWSzId8OrweJAT2B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B45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3697"/>
    <w:rsid w:val="00242CE0"/>
    <w:rsid w:val="00256217"/>
    <w:rsid w:val="00265FBA"/>
    <w:rsid w:val="00271143"/>
    <w:rsid w:val="00276E90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54C1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34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6205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21A4"/>
    <w:rsid w:val="00EE4660"/>
    <w:rsid w:val="00EF0843"/>
    <w:rsid w:val="00F02F64"/>
    <w:rsid w:val="00F0362E"/>
    <w:rsid w:val="00F05CCA"/>
    <w:rsid w:val="00F16424"/>
    <w:rsid w:val="00F17BB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1103</Words>
  <Characters>7556</Characters>
  <Application>Microsoft Office Word</Application>
  <DocSecurity>8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2024-02-27T08:56:00Z</cp:lastPrinted>
  <dcterms:created xsi:type="dcterms:W3CDTF">2024-02-13T05:43:00Z</dcterms:created>
  <dcterms:modified xsi:type="dcterms:W3CDTF">2024-02-27T08:57:00Z</dcterms:modified>
</cp:coreProperties>
</file>