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73.20pt;mso-position-horizontal:absolute;mso-position-vertical-relative:text;margin-top:85.05pt;mso-position-vertical:absolute;width:25.65pt;height:19.3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4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5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0000" style="position:absolute;z-index:25165619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5" o:spid="_x0000_s5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7" o:spid="_x0000_s7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spacing w:line="240" w:lineRule="exact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  <w:br/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 xml:space="preserve">о муниципальной комиссии города Перми по отбору кандидатов на получение знака от</w:t>
      </w:r>
      <w:r>
        <w:rPr>
          <w:b/>
          <w:sz w:val="28"/>
          <w:szCs w:val="28"/>
        </w:rPr>
        <w:t xml:space="preserve">личия «Гордост</w:t>
      </w:r>
      <w:r>
        <w:rPr>
          <w:b/>
          <w:sz w:val="28"/>
          <w:szCs w:val="28"/>
        </w:rPr>
        <w:t xml:space="preserve">ь Пермского края», утвержденное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города Перми от 05.11</w:t>
      </w:r>
      <w:r>
        <w:rPr>
          <w:b/>
          <w:sz w:val="28"/>
          <w:szCs w:val="28"/>
        </w:rPr>
        <w:t xml:space="preserve">.2015 № </w:t>
      </w:r>
      <w:r>
        <w:rPr>
          <w:b/>
          <w:sz w:val="28"/>
          <w:szCs w:val="28"/>
        </w:rPr>
        <w:t xml:space="preserve">913</w:t>
      </w:r>
      <w:r>
        <w:rPr>
          <w:b/>
          <w:sz w:val="28"/>
          <w:szCs w:val="28"/>
        </w:rPr>
        <w:t xml:space="preserve"> «Об утверждении П</w:t>
      </w:r>
      <w:r>
        <w:rPr>
          <w:b/>
          <w:sz w:val="28"/>
          <w:szCs w:val="28"/>
        </w:rPr>
        <w:t xml:space="preserve">оложения </w:t>
      </w:r>
      <w:r>
        <w:rPr>
          <w:b/>
          <w:sz w:val="28"/>
          <w:szCs w:val="28"/>
        </w:rPr>
        <w:br/>
        <w:t xml:space="preserve">и</w:t>
      </w:r>
      <w:r>
        <w:rPr>
          <w:b/>
          <w:sz w:val="28"/>
          <w:szCs w:val="28"/>
        </w:rPr>
        <w:t xml:space="preserve"> состава муниципальной комиссии города Перми по отбору кандидатов на получение знака отличия «Гордость Пермского края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ind w:right="5237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целях актуализации </w:t>
      </w:r>
      <w:r>
        <w:rPr>
          <w:bCs/>
          <w:sz w:val="28"/>
          <w:szCs w:val="28"/>
        </w:rPr>
        <w:t xml:space="preserve">правового акта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муниципальной комиссии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по отбору кандидатов на получение знака отличия «Гордость Пермского края»</w:t>
      </w:r>
      <w:r>
        <w:rPr>
          <w:sz w:val="28"/>
          <w:szCs w:val="28"/>
        </w:rPr>
        <w:t xml:space="preserve">, утвержден</w:t>
      </w:r>
      <w:r>
        <w:rPr>
          <w:sz w:val="28"/>
          <w:szCs w:val="28"/>
        </w:rPr>
        <w:t xml:space="preserve">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2015 г. № </w:t>
      </w:r>
      <w:r>
        <w:rPr>
          <w:sz w:val="28"/>
          <w:szCs w:val="28"/>
        </w:rPr>
        <w:t xml:space="preserve">913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и состава муниципальной комиссии города Перми по отбору кандидатов на получение знака отличия «Гордость Пермского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t xml:space="preserve">от 12.10.2016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822,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18.10.2017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862, от 17.10.2018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744</w:t>
      </w:r>
      <w:r>
        <w:rPr>
          <w:sz w:val="28"/>
          <w:szCs w:val="28"/>
        </w:rPr>
        <w:t xml:space="preserve">, от 10.10.2019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671,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28.09.2020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893, от 07.10.2021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815, </w:t>
      </w:r>
      <w:r>
        <w:rPr>
          <w:sz w:val="28"/>
          <w:szCs w:val="28"/>
        </w:rPr>
        <w:br/>
        <w:t xml:space="preserve">от 22.03.2022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933,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15.09.2023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828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дополнив </w:t>
      </w:r>
      <w:r>
        <w:rPr>
          <w:sz w:val="28"/>
          <w:szCs w:val="28"/>
        </w:rPr>
        <w:t xml:space="preserve">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«2.4. </w:t>
      </w:r>
      <w:r>
        <w:rPr>
          <w:sz w:val="28"/>
          <w:szCs w:val="28"/>
        </w:rPr>
        <w:t xml:space="preserve">В соответствии с установленным количеством получателей знака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отличия комиссии по отбору кандидатов на получение знака отличия, ежегодно до 14 сентября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ляют количество получателей знака отличия отдельно по каждой номинации.</w:t>
      </w:r>
      <w:r>
        <w:rPr>
          <w:sz w:val="28"/>
          <w:szCs w:val="28"/>
        </w:rPr>
        <w:t xml:space="preserve"> Количество получателей по номинации рассчитывается по формуле согласно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ложению»;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изменения в состав муниципальной комиссии города Перми по отбору кандидатов на получение знака отличия «Гордость Пермского края» изложив его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«Председатель:</w:t>
      </w:r>
      <w:r>
        <w:rPr>
          <w:sz w:val="28"/>
          <w:szCs w:val="28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Ершова Ольга Станиславовна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715"/>
              <w:numPr>
                <w:ilvl w:val="0"/>
                <w:numId w:val="1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департамента образования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</w:t>
      </w:r>
      <w:r>
        <w:rPr>
          <w:sz w:val="28"/>
          <w:szCs w:val="28"/>
        </w:rPr>
      </w:r>
    </w:p>
    <w:p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Фадеева Тамара Евгеньевна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715"/>
              <w:numPr>
                <w:ilvl w:val="0"/>
                <w:numId w:val="2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департамента – начальник управления содержания образования </w:t>
            </w:r>
            <w:r>
              <w:rPr>
                <w:sz w:val="28"/>
                <w:szCs w:val="28"/>
                <w:highlight w:val="none"/>
              </w:rPr>
              <w:t xml:space="preserve">департамента образования администрации города Перми</w:t>
            </w:r>
            <w:r/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</w:t>
      </w:r>
      <w:r>
        <w:rPr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Лунева Алёна Сергеевна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715"/>
              <w:numPr>
                <w:ilvl w:val="0"/>
                <w:numId w:val="4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консультант отдела профилактической работы управления воспитания и социализации департамента образования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Члены:</w:t>
      </w:r>
      <w:r>
        <w:rPr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Зиннер Марина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pStyle w:val="715"/>
              <w:numPr>
                <w:ilvl w:val="0"/>
                <w:numId w:val="8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председателя комитета по физической культуре и спорту администрации города Перми – начальник отдела развития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Коробко Наталия Павловна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715"/>
              <w:numPr>
                <w:ilvl w:val="0"/>
                <w:numId w:val="5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департамента – начальник отдела по реализации молодежной политики и информационному обеспечению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Орлова Нина Борисовна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715"/>
              <w:numPr>
                <w:ilvl w:val="0"/>
                <w:numId w:val="6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директор муниципального автономного учреждения дополнительного образования «Центр детского творчества «Ритм» г. Перми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Ромашкина Татьяна Валерьевна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715"/>
              <w:numPr>
                <w:ilvl w:val="0"/>
                <w:numId w:val="7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отдела профилактической работы управления воспитания и социализации департамента образования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Рослякова Наталья Михайловна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pStyle w:val="715"/>
              <w:numPr>
                <w:ilvl w:val="0"/>
                <w:numId w:val="7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депутат Пермской городской Думы (по согласованию)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Титлянова Галина Николаевна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pStyle w:val="715"/>
              <w:numPr>
                <w:ilvl w:val="0"/>
                <w:numId w:val="9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директор муниципального автономного учреждения дополнительного образования «Детско-юношеский центр «Рифей»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Щелконогова Татьяна Васильевна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vMerge w:val="restart"/>
            <w:textDirection w:val="lrTb"/>
            <w:noWrap w:val="false"/>
          </w:tcPr>
          <w:p>
            <w:pPr>
              <w:pStyle w:val="715"/>
              <w:numPr>
                <w:ilvl w:val="0"/>
                <w:numId w:val="10"/>
              </w:num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директор муниципального автономного учреждения дополнительного образования «Детско-юношеский центр «Фаворит» г. Перми»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город </w:t>
      </w:r>
      <w:r>
        <w:rPr>
          <w:sz w:val="28"/>
          <w:szCs w:val="28"/>
        </w:rPr>
        <w:t xml:space="preserve">Пермь </w:t>
      </w:r>
      <w:r>
        <w:rPr>
          <w:rStyle w:val="713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Перми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0"/>
        <w:jc w:val="right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получателей по номинациям </w:t>
      </w:r>
      <w:r>
        <w:rPr>
          <w:sz w:val="28"/>
          <w:szCs w:val="28"/>
        </w:rPr>
        <w:t xml:space="preserve">рассчитывается по следующей формуле: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</w:rPr>
      </w:pPr>
      <w:r/>
      <m:oMath>
        <m:r>
          <w:rPr>
            <w:rFonts w:ascii="Cambria Math" w:hAnsi="Cambria Math"/>
            <w:sz w:val="28"/>
            <w:szCs w:val="28"/>
          </w:rPr>
          <m:rPr/>
          <m:t>N=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rPr/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rPr/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rPr/>
          <m:t>*100%*Y</m:t>
        </m:r>
      </m:oMath>
      <w:r>
        <w:rPr>
          <w:sz w:val="28"/>
        </w:rPr>
        <w:t xml:space="preserve">, где: </w:t>
      </w:r>
      <w:r>
        <w:rPr>
          <w:sz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получателей знака отличия «Гордость Пермского края» </w:t>
      </w:r>
      <w:r>
        <w:rPr>
          <w:sz w:val="28"/>
          <w:szCs w:val="28"/>
        </w:rPr>
        <w:br/>
        <w:t xml:space="preserve">по каждой номинации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поданных заявок по номинации,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 – общее количество поданных заявок (всего),</w:t>
      </w:r>
      <w:r>
        <w:rPr>
          <w:sz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lang w:val="en-US"/>
        </w:rPr>
        <w:t xml:space="preserve">Y</w:t>
      </w:r>
      <w:r>
        <w:rPr>
          <w:sz w:val="28"/>
        </w:rPr>
        <w:t xml:space="preserve"> </w:t>
      </w:r>
      <w:r>
        <w:rPr>
          <w:sz w:val="28"/>
        </w:rPr>
        <w:t xml:space="preserve">–</w:t>
      </w:r>
      <w:r>
        <w:rPr>
          <w:sz w:val="28"/>
        </w:rPr>
        <w:t xml:space="preserve"> </w:t>
      </w:r>
      <w:r>
        <w:rPr>
          <w:sz w:val="28"/>
        </w:rPr>
        <w:t xml:space="preserve">общая</w:t>
      </w:r>
      <w:r>
        <w:rPr>
          <w:sz w:val="28"/>
        </w:rPr>
        <w:t xml:space="preserve"> квота для города Перми</w:t>
      </w:r>
      <w:r>
        <w:rPr>
          <w:sz w:val="28"/>
        </w:rPr>
        <w:t xml:space="preserve">.</w:t>
      </w:r>
      <w:r>
        <w:rPr>
          <w:sz w:val="28"/>
        </w:rPr>
        <w:tab/>
      </w:r>
      <w:r>
        <w:rPr>
          <w:sz w:val="28"/>
          <w:szCs w:val="28"/>
        </w:rPr>
      </w:r>
    </w:p>
    <w:p>
      <w:pPr>
        <w:pStyle w:val="704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08"/>
    <w:uiPriority w:val="99"/>
  </w:style>
  <w:style w:type="character" w:styleId="45">
    <w:name w:val="Footer Char"/>
    <w:basedOn w:val="700"/>
    <w:link w:val="706"/>
    <w:uiPriority w:val="99"/>
  </w:style>
  <w:style w:type="character" w:styleId="47">
    <w:name w:val="Caption Char"/>
    <w:basedOn w:val="703"/>
    <w:link w:val="706"/>
    <w:uiPriority w:val="99"/>
  </w:style>
  <w:style w:type="table" w:styleId="48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1"/>
    <w:basedOn w:val="697"/>
    <w:next w:val="697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qFormat/>
    <w:pPr>
      <w:ind w:right="-1"/>
      <w:jc w:val="both"/>
      <w:keepNext/>
      <w:outlineLvl w:val="1"/>
    </w:pPr>
    <w:rPr>
      <w:sz w:val="24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4">
    <w:name w:val="Body Text"/>
    <w:basedOn w:val="697"/>
    <w:pPr>
      <w:ind w:right="3117"/>
    </w:pPr>
    <w:rPr>
      <w:rFonts w:ascii="Courier New" w:hAnsi="Courier New"/>
      <w:sz w:val="26"/>
    </w:rPr>
  </w:style>
  <w:style w:type="paragraph" w:styleId="705">
    <w:name w:val="Body Text Indent"/>
    <w:basedOn w:val="697"/>
    <w:pPr>
      <w:ind w:right="-1"/>
      <w:jc w:val="both"/>
    </w:pPr>
    <w:rPr>
      <w:sz w:val="26"/>
    </w:rPr>
  </w:style>
  <w:style w:type="paragraph" w:styleId="706">
    <w:name w:val="Footer"/>
    <w:basedOn w:val="697"/>
    <w:pPr>
      <w:tabs>
        <w:tab w:val="center" w:pos="4153" w:leader="none"/>
        <w:tab w:val="right" w:pos="8306" w:leader="none"/>
      </w:tabs>
    </w:pPr>
  </w:style>
  <w:style w:type="character" w:styleId="707">
    <w:name w:val="page number"/>
    <w:basedOn w:val="700"/>
  </w:style>
  <w:style w:type="paragraph" w:styleId="708">
    <w:name w:val="Header"/>
    <w:basedOn w:val="697"/>
    <w:link w:val="711"/>
    <w:uiPriority w:val="99"/>
    <w:pPr>
      <w:tabs>
        <w:tab w:val="center" w:pos="4153" w:leader="none"/>
        <w:tab w:val="right" w:pos="8306" w:leader="none"/>
      </w:tabs>
    </w:pPr>
  </w:style>
  <w:style w:type="paragraph" w:styleId="709">
    <w:name w:val="Balloon Text"/>
    <w:basedOn w:val="697"/>
    <w:link w:val="710"/>
    <w:rPr>
      <w:rFonts w:ascii="Segoe UI" w:hAnsi="Segoe UI"/>
      <w:sz w:val="18"/>
      <w:szCs w:val="18"/>
    </w:rPr>
  </w:style>
  <w:style w:type="character" w:styleId="710" w:customStyle="1">
    <w:name w:val="Текст выноски Знак"/>
    <w:link w:val="709"/>
    <w:rPr>
      <w:rFonts w:ascii="Segoe UI" w:hAnsi="Segoe UI" w:cs="Segoe UI"/>
      <w:sz w:val="18"/>
      <w:szCs w:val="18"/>
    </w:rPr>
  </w:style>
  <w:style w:type="character" w:styleId="711" w:customStyle="1">
    <w:name w:val="Верхний колонтитул Знак"/>
    <w:link w:val="708"/>
    <w:uiPriority w:val="99"/>
  </w:style>
  <w:style w:type="paragraph" w:styleId="712" w:customStyle="1">
    <w:name w:val="ConsPlusNormal"/>
    <w:rPr>
      <w:b/>
      <w:bCs/>
      <w:sz w:val="28"/>
      <w:szCs w:val="28"/>
    </w:rPr>
  </w:style>
  <w:style w:type="character" w:styleId="713">
    <w:name w:val="Hyperlink"/>
    <w:uiPriority w:val="99"/>
    <w:unhideWhenUsed/>
    <w:rPr>
      <w:color w:val="0000ff"/>
      <w:u w:val="single"/>
    </w:rPr>
  </w:style>
  <w:style w:type="character" w:styleId="714">
    <w:name w:val="Placeholder Text"/>
    <w:basedOn w:val="700"/>
    <w:uiPriority w:val="99"/>
    <w:semiHidden/>
    <w:rPr>
      <w:color w:val="808080"/>
    </w:rPr>
  </w:style>
  <w:style w:type="paragraph" w:styleId="715">
    <w:name w:val="List Paragraph"/>
    <w:basedOn w:val="69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</cp:revision>
  <dcterms:created xsi:type="dcterms:W3CDTF">2024-08-07T05:27:00Z</dcterms:created>
  <dcterms:modified xsi:type="dcterms:W3CDTF">2024-08-12T10:31:12Z</dcterms:modified>
</cp:coreProperties>
</file>