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7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7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7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 xml:space="preserve">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муниципальному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бюджетному учреждению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«Горсвет»,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подведомственному департаменту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благоустройства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выполнение мероприятий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рамках реализации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инициативных проектов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на территории города Перми</w:t>
      </w:r>
      <w:r>
        <w:rPr>
          <w:b/>
          <w:bCs/>
          <w:sz w:val="28"/>
          <w:szCs w:val="28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78.1 Бюджетного</w:t>
      </w:r>
      <w:r>
        <w:rPr>
          <w:sz w:val="28"/>
          <w:szCs w:val="28"/>
        </w:rPr>
        <w:t xml:space="preserve">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</w:t>
      </w:r>
      <w:r>
        <w:rPr>
          <w:sz w:val="28"/>
          <w:szCs w:val="28"/>
        </w:rPr>
        <w:t xml:space="preserve">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субсидий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Пермской городской Думы от 26 марта 2019 г. № 64 «Об утверждении Положения об участии граждан в осуществлении местного самоуправления в горо</w:t>
      </w:r>
      <w:r>
        <w:rPr>
          <w:sz w:val="28"/>
          <w:szCs w:val="28"/>
        </w:rPr>
        <w:t xml:space="preserve">де Перми»,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 города Перми от 18 марта 2024 г. </w:t>
      </w:r>
      <w:r>
        <w:rPr>
          <w:sz w:val="28"/>
          <w:szCs w:val="28"/>
          <w:highlight w:val="none"/>
        </w:rPr>
        <w:t xml:space="preserve">№ 196 «Об утверждении пере</w:t>
      </w:r>
      <w:r>
        <w:rPr>
          <w:sz w:val="28"/>
          <w:szCs w:val="28"/>
          <w:highlight w:val="none"/>
        </w:rPr>
        <w:t xml:space="preserve">чня инициативных проектов, прошедших конкурсный отбо</w:t>
      </w:r>
      <w:r>
        <w:rPr>
          <w:sz w:val="28"/>
          <w:szCs w:val="28"/>
          <w:highlight w:val="none"/>
        </w:rPr>
        <w:t xml:space="preserve">р»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</w:p>
    <w:p>
      <w:pPr>
        <w:pStyle w:val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й Порядок определения объема и условий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 иные цели муниципальному бюджетному учреждению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</w:t>
      </w:r>
      <w:r>
        <w:rPr>
          <w:sz w:val="28"/>
          <w:szCs w:val="28"/>
        </w:rPr>
        <w:t xml:space="preserve">«Горсвет», подведомственному департаменту дорог и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администрации города Перми, на выполнение мероприятий в рамках реализации инициативных проектов 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</w:t>
      </w:r>
      <w:r>
        <w:rPr>
          <w:sz w:val="28"/>
          <w:szCs w:val="28"/>
        </w:rPr>
        <w:t xml:space="preserve">м средстве массовой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</w:t>
      </w:r>
      <w:r>
        <w:rPr>
          <w:sz w:val="28"/>
          <w:szCs w:val="28"/>
        </w:rPr>
        <w:t xml:space="preserve">публикования в сетевом издании 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Галихан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tabs>
          <w:tab w:val="right" w:pos="9923" w:leader="none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  <w:tab/>
      </w:r>
      <w:r>
        <w:rPr>
          <w:sz w:val="28"/>
          <w:szCs w:val="28"/>
          <w:lang w:val="ru-RU"/>
        </w:rPr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Соснин</w:t>
      </w:r>
      <w:r/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71"/>
        <w:tabs>
          <w:tab w:val="right" w:pos="9923" w:leader="none"/>
        </w:tabs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5670"/>
        <w:spacing w:line="240" w:lineRule="exact"/>
        <w:rPr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</w:t>
      </w:r>
      <w:r>
        <w:rPr>
          <w:b/>
          <w:color w:val="000000"/>
          <w:sz w:val="28"/>
          <w:szCs w:val="28"/>
        </w:rPr>
        <w:t xml:space="preserve">города Перми </w:t>
      </w:r>
      <w:r>
        <w:rPr>
          <w:b/>
          <w:color w:val="000000"/>
          <w:sz w:val="28"/>
          <w:szCs w:val="28"/>
        </w:rPr>
        <w:t xml:space="preserve">«Горсвет»,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города Перми, на выполнение мероприятий в рамках реализации инициативных проектов </w:t>
      </w:r>
      <w:r>
        <w:rPr>
          <w:b/>
          <w:color w:val="000000"/>
          <w:sz w:val="28"/>
          <w:szCs w:val="28"/>
        </w:rPr>
        <w:t xml:space="preserve">на террит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рии города Перми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</w:t>
      </w:r>
      <w:r>
        <w:rPr>
          <w:b/>
          <w:color w:val="000000"/>
          <w:sz w:val="28"/>
          <w:szCs w:val="28"/>
        </w:rPr>
        <w:t xml:space="preserve"> о предоставлении субсидий</w:t>
      </w:r>
      <w:r>
        <w:rPr>
          <w:b/>
          <w:color w:val="000000"/>
          <w:sz w:val="28"/>
          <w:szCs w:val="28"/>
        </w:rPr>
        <w:t xml:space="preserve"> на иные цели</w:t>
      </w:r>
      <w:r>
        <w:rPr>
          <w:b/>
          <w:color w:val="000000"/>
          <w:sz w:val="28"/>
          <w:szCs w:val="28"/>
        </w:rPr>
      </w:r>
    </w:p>
    <w:p>
      <w:pPr>
        <w:pStyle w:val="67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определения объема и условий предоставления субсидий на иные цели муниципальному бюджетному учреждению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«Горсвет», подведомственному департаменту дорог и благоустройства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Перми, на выполнение мероприятий в рамках реализации инициативных проектов </w:t>
      </w:r>
      <w:r>
        <w:rPr>
          <w:sz w:val="28"/>
          <w:szCs w:val="28"/>
        </w:rPr>
        <w:t xml:space="preserve">на территории города Перми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определяет объем и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 предоставления субсидий на иные цели на </w:t>
      </w:r>
      <w:r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мероприятий в рамках реализации инициативных проектов</w:t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города Перми </w:t>
      </w:r>
      <w:r>
        <w:rPr>
          <w:sz w:val="28"/>
          <w:szCs w:val="28"/>
        </w:rPr>
        <w:t xml:space="preserve">(далее – субсидии на иные цели) муниципальному бюджетному учреждению </w:t>
      </w:r>
      <w:r>
        <w:rPr>
          <w:sz w:val="28"/>
          <w:szCs w:val="28"/>
        </w:rPr>
        <w:t xml:space="preserve">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«Горсвет»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Учреждение), в отношении которого департамент дорог и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Департамент) осуществляет функции и полном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чия учредителя.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Целью предоставления субсидий на иные цели является реализация мероприятий, имеющих приоритетное значение для граждан, по решению вопросов местного значения или иных вопросов, право решения которых предоставлено органам местного самоуправления, в рамках вы</w:t>
      </w:r>
      <w:r>
        <w:rPr>
          <w:sz w:val="28"/>
          <w:szCs w:val="28"/>
        </w:rPr>
        <w:t xml:space="preserve">полнения мероприятий муниципальной программы «Общественное согласие»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Субсидии на иные</w:t>
      </w:r>
      <w:r>
        <w:rPr>
          <w:sz w:val="28"/>
          <w:szCs w:val="28"/>
        </w:rPr>
        <w:t xml:space="preserve"> цели направляются на </w:t>
      </w:r>
      <w:r>
        <w:rPr>
          <w:sz w:val="28"/>
          <w:szCs w:val="28"/>
        </w:rPr>
        <w:t xml:space="preserve">выполнение работ по ремонту сетей наружного освещения </w:t>
      </w:r>
      <w:r>
        <w:rPr>
          <w:sz w:val="28"/>
          <w:szCs w:val="28"/>
        </w:rPr>
        <w:t xml:space="preserve">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Субсидии на иные цели предоставляются Учреждению в пределах бюджетных ассигнований </w:t>
      </w:r>
      <w:r>
        <w:rPr>
          <w:sz w:val="28"/>
          <w:szCs w:val="28"/>
        </w:rPr>
        <w:t xml:space="preserve">и лимитов бюджетных обязательств на 2024 год, на основании сводной бю</w:t>
      </w:r>
      <w:r>
        <w:rPr>
          <w:sz w:val="28"/>
          <w:szCs w:val="28"/>
        </w:rPr>
        <w:t xml:space="preserve">джетной росписи бюджета города Перми, за счет средств бюджета города Перми, инициативных платежей, в рамках реализации мероприятий муниципальной программы «Общественное согласие</w:t>
      </w:r>
      <w:r>
        <w:rPr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>
        <w:rPr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Получателем субсидий на иные цели является Учреждение.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 xml:space="preserve">Условия и порядок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Для получения субсидий на иные цели на </w:t>
      </w:r>
      <w:r>
        <w:rPr>
          <w:sz w:val="28"/>
          <w:szCs w:val="28"/>
        </w:rPr>
        <w:t xml:space="preserve">текущий</w:t>
      </w:r>
      <w:r>
        <w:rPr>
          <w:sz w:val="28"/>
          <w:szCs w:val="28"/>
        </w:rPr>
        <w:t xml:space="preserve"> финансовый год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плановый период Учреждение направляет в Департамент: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субсидий на иные цели, включая расчет-обоснование суммы субсидий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</w:t>
      </w:r>
      <w:r>
        <w:t xml:space="preserve"> </w:t>
      </w:r>
      <w:r>
        <w:rPr>
          <w:sz w:val="28"/>
          <w:szCs w:val="28"/>
        </w:rPr>
        <w:t xml:space="preserve">согласно приложению 1 к настоящему Порядку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объектов, подлежащих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ремонту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Перечень объектов);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обследования, дефектную ведомость объектов, подлежащих ремонту;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предварительную смету </w:t>
      </w:r>
      <w:r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ремонтных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жения </w:t>
      </w:r>
      <w:r>
        <w:rPr>
          <w:sz w:val="28"/>
          <w:szCs w:val="28"/>
        </w:rPr>
        <w:t xml:space="preserve">поставщиков (</w:t>
      </w:r>
      <w:r>
        <w:rPr>
          <w:sz w:val="28"/>
          <w:szCs w:val="28"/>
        </w:rPr>
        <w:t xml:space="preserve">подрядчиков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исполнителей), заключенные контракты (дог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воры) на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ставку товаров, выполнение работ, оказание услуг.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2.1 настоящего Порядка осуществляется Департаме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том в течение 10 рабочих дней со дня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Требования, которым Учреждение должно соответствовать на дату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дачи документов, указанных в пункте 2.1 настоящего Порядка: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взносов, пеней, штрафов, процентов, подлежащих уплате в соответствии с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иными правовыми актами, и иной просроченной задолженности перед бюджетом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 субсидии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или непре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субсидий на иные цели определяется на основании </w:t>
      </w:r>
      <w:r>
        <w:rPr>
          <w:sz w:val="28"/>
          <w:szCs w:val="28"/>
        </w:rPr>
        <w:t xml:space="preserve">предвар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тельной смет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на выполнение работ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предложений</w:t>
      </w:r>
      <w:r>
        <w:rPr>
          <w:sz w:val="28"/>
          <w:szCs w:val="28"/>
        </w:rPr>
        <w:t xml:space="preserve"> поставщиков (по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рядчиков, исполнителей), заключенны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(договор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) на поставку тов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ров, выполнение работ, оказание услуг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иные цели </w:t>
      </w:r>
      <w:r>
        <w:rPr>
          <w:sz w:val="28"/>
          <w:szCs w:val="28"/>
        </w:rPr>
        <w:t xml:space="preserve">по Учреждению </w:t>
      </w:r>
      <w:r>
        <w:rPr>
          <w:sz w:val="28"/>
          <w:szCs w:val="28"/>
        </w:rPr>
        <w:t xml:space="preserve">оформляется в виде</w:t>
      </w:r>
      <w:r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ему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субсидий на иные цели на 2024 год установлен в приложении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Учреждению на основании соглашения о предоставлении субсидии из бюджета города Перми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глашение), заключенного между Департаментом и Учреждением в соответствии </w:t>
      </w:r>
      <w:r>
        <w:rPr>
          <w:sz w:val="28"/>
          <w:szCs w:val="28"/>
        </w:rPr>
        <w:t xml:space="preserve">с типовой формой, утвержденной распоряжением заместителя главы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Перми-начальника департамента финансов администрации города Перми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типовая форма) не позднее 30 рабочих дней </w:t>
      </w:r>
      <w:r>
        <w:rPr>
          <w:sz w:val="28"/>
          <w:szCs w:val="28"/>
        </w:rPr>
        <w:t xml:space="preserve">со дня официального опубликования изменений в муниципальную программу «Общественное согласие».</w:t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Условиями заключения Соглашения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наличие бюджетн</w:t>
      </w:r>
      <w:r>
        <w:rPr>
          <w:sz w:val="28"/>
          <w:szCs w:val="28"/>
        </w:rPr>
        <w:t xml:space="preserve">ых ассигнований </w:t>
      </w:r>
      <w:r>
        <w:rPr>
          <w:sz w:val="28"/>
          <w:szCs w:val="28"/>
        </w:rPr>
        <w:t xml:space="preserve">и лимитов бюджетных обязательств для предоставления субсидий на иные цели в сводной бюджетной росписи бюджета города Перми на текущий финансовый год в муниципальной программе «Общественное согласие».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внесении изменений</w:t>
      </w:r>
      <w:r>
        <w:rPr>
          <w:sz w:val="28"/>
          <w:szCs w:val="28"/>
        </w:rPr>
        <w:t xml:space="preserve"> в настоящий Порядок, </w:t>
      </w:r>
      <w:r>
        <w:rPr>
          <w:sz w:val="28"/>
          <w:szCs w:val="28"/>
        </w:rPr>
        <w:t xml:space="preserve">муниципальную программу «Общественное согласие»</w:t>
      </w:r>
      <w:r>
        <w:rPr>
          <w:sz w:val="28"/>
          <w:szCs w:val="28"/>
        </w:rPr>
        <w:t xml:space="preserve">, требующих внесения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менений в Соглаш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дополнительные соглашения заключаются в течение 10 рабочих дней со дня вступления в силу</w:t>
      </w:r>
      <w:r>
        <w:rPr>
          <w:sz w:val="28"/>
          <w:szCs w:val="28"/>
        </w:rPr>
        <w:t xml:space="preserve"> изменений в указанные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вовые акты.</w:t>
      </w:r>
      <w:r>
        <w:rPr>
          <w:sz w:val="28"/>
          <w:szCs w:val="28"/>
        </w:rPr>
      </w:r>
      <w:r/>
      <w:r>
        <w:rPr>
          <w:sz w:val="28"/>
          <w:szCs w:val="28"/>
          <w14:ligatures w14:val="none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в сроки, установленные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</w:t>
      </w:r>
      <w:r>
        <w:rPr>
          <w:sz w:val="28"/>
          <w:szCs w:val="28"/>
        </w:rPr>
        <w:t xml:space="preserve">ем.</w:t>
      </w:r>
      <w:r>
        <w:t xml:space="preserve"> </w:t>
      </w:r>
      <w:r>
        <w:rPr>
          <w:sz w:val="28"/>
          <w:szCs w:val="28"/>
        </w:rPr>
        <w:t xml:space="preserve">Периодичность перечисления субсидий на иные цели – </w:t>
      </w:r>
      <w:r>
        <w:rPr>
          <w:sz w:val="28"/>
          <w:szCs w:val="28"/>
        </w:rPr>
        <w:t xml:space="preserve">в течение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кущего финансового года после представления документов, подтверждающих возникновение денежных обязательств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2.11. Средства, предоставляемые Учреждению в виде субсидий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 осуществляется с применением аналитических кодов счетов бухгалтерского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Субсидии на иные цели Учреждению предоставляются путем перечи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ления Департаментом денежных средств на отдельный лицевой счет Учреждения, открытый в департаменте финансов администрации города Перми 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Субсидии на иные цели предоставляются по следующим направлен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 расходов: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согласованию производства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поставка материалов для ремонта сетей наружного освещения и последу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щего восстановления благоустройства;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выполнению исполнительной съемки сетей наружного освещения.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Результатом предоставления субсидий на иные цели является </w:t>
      </w: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  <w:t xml:space="preserve">количество проектов, получивших поддержку в рамках реализации иници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тивных проектов на территории города Перми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в соответст</w:t>
      </w:r>
      <w:r>
        <w:rPr>
          <w:rFonts w:eastAsia="Calibri"/>
          <w:sz w:val="28"/>
          <w:szCs w:val="28"/>
          <w:lang w:eastAsia="en-US"/>
        </w:rPr>
        <w:t xml:space="preserve">вии с муниципальной программой «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бщественное согласие»</w:t>
      </w:r>
      <w:r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lang w:eastAsia="en-US"/>
        </w:rPr>
        <w:t xml:space="preserve">Для достижения результата предоставления субсидий на иные цели Соглашением устанавлив</w:t>
      </w:r>
      <w:r>
        <w:rPr>
          <w:rFonts w:eastAsia="Calibri"/>
          <w:sz w:val="28"/>
          <w:szCs w:val="28"/>
          <w:lang w:eastAsia="en-US"/>
        </w:rPr>
        <w:t xml:space="preserve">ается план мероприятий по достижению результата предоставления субсидий на иные цели.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Учреждение по форме и в сроки, установленные в Соглашении,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ставляет в Департамент следующие отчеты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субсидии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Контроль за своевременностью представления Отчетов и достоверн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стью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четных данных возлагается на директора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Департамент имеет право устанавливать в Соглашении </w:t>
      </w:r>
      <w:r>
        <w:rPr>
          <w:sz w:val="28"/>
          <w:szCs w:val="28"/>
        </w:rPr>
        <w:t xml:space="preserve">формы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Учреждением дополнительной отчетности и сроки их представления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осуществления контроля за соблюдением целей,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и порядка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ответственность за их несоблюдение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Департамент и уполномоченный орган муниципального финансового контроля осуществляют обязательную проверку соблюдения целей и условий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Учреждению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Учреждение несет ответственность за несоблюдение целей и условий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t xml:space="preserve"> </w:t>
      </w:r>
      <w:r>
        <w:rPr>
          <w:sz w:val="28"/>
          <w:szCs w:val="28"/>
        </w:rPr>
        <w:t xml:space="preserve">субсидий на иные цели</w:t>
      </w:r>
      <w:r>
        <w:rPr>
          <w:sz w:val="28"/>
          <w:szCs w:val="28"/>
        </w:rPr>
        <w:t xml:space="preserve">, установленных настоящим Порядком.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субсидий на иные цели, выявленного по результатам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рок, проведенных Департаментом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– в течение 30 календарных дней </w:t>
      </w:r>
      <w:r>
        <w:rPr>
          <w:sz w:val="28"/>
          <w:szCs w:val="28"/>
        </w:rPr>
        <w:t xml:space="preserve">со дня получения Учреждением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с бюджетным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</w:t>
      </w:r>
      <w:r>
        <w:rPr>
          <w:sz w:val="28"/>
          <w:szCs w:val="28"/>
        </w:rPr>
        <w:t xml:space="preserve">на иные цели Департамент обеспечивает взыскание субсидий на иные цели в 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4.4. В случае недостижения результата предоставления субсидий на иные цели, установленного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"P85"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2.1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настоящего Порядка, суб</w:t>
      </w:r>
      <w:r>
        <w:rPr>
          <w:sz w:val="28"/>
          <w:szCs w:val="28"/>
        </w:rPr>
        <w:t xml:space="preserve">сидии на иные цели подлежат возврату в доход бюджета города Перми в течение 25 рабочих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Объем средств, подлежащих возврату в доход бюджета города Перми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(V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во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з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врата</w:t>
      </w:r>
      <w:r>
        <w:rPr>
          <w:rFonts w:eastAsia="Calibri"/>
          <w:sz w:val="28"/>
          <w:szCs w:val="28"/>
          <w:lang w:eastAsia="en-US"/>
        </w:rPr>
        <w:t xml:space="preserve">), рассчитывается по формуле:</w:t>
      </w:r>
      <w:r/>
      <w:r>
        <w:rPr>
          <w:rFonts w:eastAsia="Calibri"/>
          <w:sz w:val="28"/>
          <w:szCs w:val="28"/>
          <w:lang w:eastAsia="en-US"/>
        </w:rPr>
      </w:r>
    </w:p>
    <w:p>
      <w:pPr>
        <w:pStyle w:val="671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1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V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во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з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врата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= (1 –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X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факт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/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X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план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 × </w:t>
      </w:r>
      <w:r>
        <w:rPr>
          <w:rFonts w:eastAsia="Calibri"/>
          <w:sz w:val="28"/>
          <w:szCs w:val="28"/>
          <w:lang w:eastAsia="en-US"/>
        </w:rPr>
        <w:t xml:space="preserve">V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субсидии</w:t>
      </w:r>
      <w:r>
        <w:rPr>
          <w:rFonts w:eastAsia="Calibri"/>
          <w:sz w:val="28"/>
          <w:szCs w:val="28"/>
          <w:lang w:eastAsia="en-US"/>
        </w:rPr>
        <w:t xml:space="preserve">, где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1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V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субсидии</w:t>
      </w:r>
      <w:r>
        <w:rPr>
          <w:rFonts w:eastAsia="Calibri"/>
          <w:sz w:val="28"/>
          <w:szCs w:val="28"/>
          <w:lang w:eastAsia="en-US"/>
        </w:rPr>
        <w:t xml:space="preserve"> – размер субсидий на иные цели, полученный Учреждением;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1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X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факт</w:t>
      </w:r>
      <w:r>
        <w:rPr>
          <w:rFonts w:eastAsia="Calibri"/>
          <w:sz w:val="28"/>
          <w:szCs w:val="28"/>
          <w:lang w:eastAsia="en-US"/>
        </w:rPr>
        <w:t xml:space="preserve"> – фактически достигнутое значение результата предоставления субс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дий на иные цели на о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четную дату;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X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план</w:t>
      </w:r>
      <w:r>
        <w:rPr>
          <w:rFonts w:eastAsia="Calibri"/>
          <w:sz w:val="28"/>
          <w:szCs w:val="28"/>
          <w:lang w:eastAsia="en-US"/>
        </w:rPr>
        <w:t xml:space="preserve"> – плановый результат предоставления субсидий на иные цели.</w:t>
      </w:r>
      <w:r/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1"/>
        <w:ind w:firstLine="720"/>
        <w:jc w:val="both"/>
        <w:rPr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4.5. Остатки субсидий на иные цели по состоянию на 01 января очередного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нансового года, не использованные Учреждением в текущем финансовом году,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жат перечислению Учреждением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Неиспользованные в текущем финансовом году остатки субсидий на иные цели могут использоваться Учреждени</w:t>
      </w:r>
      <w:r>
        <w:rPr>
          <w:rFonts w:eastAsia="Calibri"/>
          <w:sz w:val="28"/>
          <w:szCs w:val="28"/>
          <w:lang w:eastAsia="en-US"/>
        </w:rPr>
        <w:t xml:space="preserve">ем</w:t>
      </w:r>
      <w:r>
        <w:rPr>
          <w:rFonts w:eastAsia="Calibri"/>
          <w:sz w:val="28"/>
          <w:szCs w:val="28"/>
          <w:lang w:eastAsia="en-US"/>
        </w:rPr>
        <w:t xml:space="preserve"> в очередном финансовом году </w:t>
      </w:r>
      <w:r>
        <w:rPr>
          <w:rFonts w:eastAsia="Calibri"/>
          <w:sz w:val="28"/>
          <w:szCs w:val="28"/>
          <w:lang w:eastAsia="en-US"/>
        </w:rPr>
        <w:t xml:space="preserve">при наличии потребности в направлении их на те же цели.</w:t>
      </w:r>
      <w:r/>
      <w:r>
        <w:rPr>
          <w:rFonts w:eastAsia="Calibri"/>
          <w:sz w:val="28"/>
          <w:szCs w:val="28"/>
          <w:lang w:eastAsia="en-US"/>
        </w:rPr>
      </w:r>
    </w:p>
    <w:p>
      <w:pPr>
        <w:pStyle w:val="671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наличии у Учреждения потребности в указанных средствах Учреждение направляет в Департамент до 01 февраля текущего года запрос, отражающий пр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>
        <w:rPr>
          <w:rFonts w:eastAsia="Calibri"/>
          <w:sz w:val="28"/>
          <w:szCs w:val="28"/>
          <w:lang w:eastAsia="en-US"/>
        </w:rPr>
        <w:t xml:space="preserve">до начала текущего финансового года либо подлежащих принятию в текущем ф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нансовом году.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итогам рассмотрения запрос</w:t>
      </w:r>
      <w:r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 xml:space="preserve">Учреждени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 Департамент принимает реш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ние, оформленное приказом начальника Департамента, о возврате остатков су</w:t>
      </w:r>
      <w:r>
        <w:rPr>
          <w:rFonts w:eastAsia="Calibri"/>
          <w:sz w:val="28"/>
          <w:szCs w:val="28"/>
          <w:lang w:eastAsia="en-US"/>
        </w:rPr>
        <w:t xml:space="preserve">б</w:t>
      </w:r>
      <w:r>
        <w:rPr>
          <w:rFonts w:eastAsia="Calibri"/>
          <w:sz w:val="28"/>
          <w:szCs w:val="28"/>
          <w:lang w:eastAsia="en-US"/>
        </w:rPr>
        <w:t xml:space="preserve">сидий на иные цели в течение 30 рабочих дней с момента поступления запр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сов, но не позднее 20 мая текущего года.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решением Департамента остатки субсидий на иные цели, перечисленные Учреждени</w:t>
      </w:r>
      <w:r>
        <w:rPr>
          <w:rFonts w:eastAsia="Calibri"/>
          <w:sz w:val="28"/>
          <w:szCs w:val="28"/>
          <w:lang w:eastAsia="en-US"/>
        </w:rPr>
        <w:t xml:space="preserve">ем</w:t>
      </w:r>
      <w:r>
        <w:rPr>
          <w:rFonts w:eastAsia="Calibri"/>
          <w:sz w:val="28"/>
          <w:szCs w:val="28"/>
          <w:lang w:eastAsia="en-US"/>
        </w:rPr>
        <w:t xml:space="preserve"> в доход бюдж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та города Перми, возвращаются Учреждени</w:t>
      </w:r>
      <w:r>
        <w:rPr>
          <w:rFonts w:eastAsia="Calibri"/>
          <w:sz w:val="28"/>
          <w:szCs w:val="28"/>
          <w:lang w:eastAsia="en-US"/>
        </w:rPr>
        <w:t xml:space="preserve">ю</w:t>
      </w:r>
      <w:r>
        <w:rPr>
          <w:rFonts w:eastAsia="Calibri"/>
          <w:sz w:val="28"/>
          <w:szCs w:val="28"/>
          <w:lang w:eastAsia="en-US"/>
        </w:rPr>
        <w:t xml:space="preserve"> в очередном финансовом году.</w:t>
      </w:r>
      <w:r>
        <w:rPr>
          <w:sz w:val="28"/>
          <w:szCs w:val="28"/>
          <w:highlight w:val="none"/>
        </w:rPr>
      </w:r>
      <w:r/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и не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жат возврату Учреждению.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не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числены Учреждением в доход бюджета города Перми в сроки, установленные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"P106"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абз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цем первым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пункта, то они подлежат взысканию в установленном действующим законодательством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если расходы Учреждения, источником финансового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которых должны являться субсидии на иные цели, осуществлены </w:t>
      </w:r>
      <w:r>
        <w:rPr>
          <w:sz w:val="28"/>
          <w:szCs w:val="28"/>
        </w:rPr>
        <w:t xml:space="preserve">с лицев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счета Учреждения, открытого ему в департаменте финансов администрации города Перми для учета операций со средствами Учреждения</w:t>
      </w:r>
      <w:r>
        <w:rPr>
          <w:sz w:val="28"/>
          <w:szCs w:val="28"/>
        </w:rPr>
        <w:t xml:space="preserve">, получаемы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Учреждением от приносящей доход деятельности, и со средствами, поступающ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ми Учреждению на финансовое обеспечение выполнения им муниципального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дания, Учреждение вправе осуществить возмещение указанных расходов за счет субсидий н</w:t>
      </w:r>
      <w:r>
        <w:rPr>
          <w:sz w:val="28"/>
          <w:szCs w:val="28"/>
        </w:rPr>
        <w:t xml:space="preserve">а иные цели после проверки 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 подлеж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щие возмещению расходы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в случае отсутствия на момент осуществления 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дов, на исполнение которых предоставляются субсидии на иные цели, возможн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их оплаты за счет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Учреждения осуществляется после согласования их возмещения Департаментом в порядке, утвержденном распоряжением заместит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 главы администрации города Перми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начальника департамента финансов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4.7.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Учреждение не позднее 5 рабочих дней с момента поступления средств в Учрежд</w:t>
      </w:r>
      <w:r>
        <w:rPr>
          <w:sz w:val="28"/>
          <w:szCs w:val="28"/>
        </w:rPr>
        <w:t xml:space="preserve">ение направляет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</w:t>
      </w:r>
      <w:r>
        <w:rPr>
          <w:sz w:val="28"/>
          <w:szCs w:val="28"/>
        </w:rPr>
        <w:t xml:space="preserve">нансового года либо подлежащих принятию в текущем финансовом году.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 итогам рассмотрения представленного Учреждением запроса Департамент в течение 30 рабочих дней с момента поступления средств в Учреждение принимает решение путем издания приказа об использовании в текущем финансовом году указанных средств.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1"/>
        <w:ind w:firstLine="540"/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объема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предоставления субсидий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бюджетному учреждению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«Горсвет», подведомственному департаменту дорог и благоустройства 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выполнение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инициативных проектов</w:t>
      </w:r>
      <w:r>
        <w:rPr>
          <w:sz w:val="28"/>
          <w:szCs w:val="28"/>
        </w:rPr>
        <w:t xml:space="preserve"> 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</w:t>
      </w:r>
      <w:r>
        <w:rPr>
          <w:b/>
          <w:sz w:val="28"/>
          <w:szCs w:val="28"/>
        </w:rPr>
        <w:t xml:space="preserve">20_</w:t>
      </w:r>
      <w:r>
        <w:rPr>
          <w:b/>
          <w:sz w:val="28"/>
          <w:szCs w:val="28"/>
        </w:rPr>
        <w:t xml:space="preserve">___</w:t>
      </w:r>
      <w:r>
        <w:rPr>
          <w:b/>
          <w:sz w:val="28"/>
          <w:szCs w:val="28"/>
        </w:rPr>
        <w:t xml:space="preserve">__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4"/>
        <w:gridCol w:w="5621"/>
        <w:gridCol w:w="1417"/>
        <w:gridCol w:w="251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2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субсидии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объе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дии, тыс.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2" w:type="pct"/>
            <w:vAlign w:val="top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иные цели на выполнение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ремонту сетей наружного освещения </w:t>
            </w:r>
            <w:r>
              <w:rPr>
                <w:sz w:val="28"/>
                <w:szCs w:val="28"/>
              </w:rPr>
              <w:t xml:space="preserve">в рамках реализации инициативных проектов на территории города Перми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инвестиций, предоставленных в том числе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иными правовыми актами, и иной просроченной задолженности перед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5"/>
        <w:gridCol w:w="2692"/>
        <w:gridCol w:w="364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top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top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pStyle w:val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pStyle w:val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____________________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top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top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pStyle w:val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pStyle w:val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pStyle w:val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71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предоставления субсидий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бюджетному учреждению города Перми «Горсвет», подведомственному департаменту дорог и благоустройства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b/>
          <w:sz w:val="28"/>
          <w:szCs w:val="28"/>
          <w14:ligatures w14:val="none"/>
        </w:rPr>
      </w:pPr>
      <w:r>
        <w:rPr>
          <w:sz w:val="28"/>
          <w:szCs w:val="28"/>
        </w:rPr>
        <w:t xml:space="preserve">на выполнение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инициативных проектов</w:t>
      </w:r>
      <w:r/>
      <w:r>
        <w:rPr>
          <w:b/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671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СУБСИДИЙ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иные цели на 2024 год </w:t>
      </w:r>
      <w:r>
        <w:rPr>
          <w:b/>
          <w:bCs/>
          <w:sz w:val="28"/>
          <w:szCs w:val="28"/>
        </w:rPr>
      </w:r>
    </w:p>
    <w:p>
      <w:pPr>
        <w:pStyle w:val="67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5"/>
        <w:gridCol w:w="3643"/>
        <w:gridCol w:w="3076"/>
        <w:gridCol w:w="2645"/>
      </w:tblGrid>
      <w:tr>
        <w:tblPrEx/>
        <w:trPr/>
        <w:tc>
          <w:tcPr>
            <w:tcW w:w="665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№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643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Наименов</w:t>
            </w:r>
            <w:r>
              <w:rPr>
                <w:rFonts w:eastAsia="Calibri"/>
                <w:bCs/>
                <w:sz w:val="28"/>
                <w:szCs w:val="28"/>
              </w:rPr>
              <w:t xml:space="preserve">а</w:t>
            </w:r>
            <w:r>
              <w:rPr>
                <w:rFonts w:eastAsia="Calibri"/>
                <w:bCs/>
                <w:sz w:val="28"/>
                <w:szCs w:val="28"/>
              </w:rPr>
              <w:t xml:space="preserve">ние су</w:t>
            </w:r>
            <w:r>
              <w:rPr>
                <w:rFonts w:eastAsia="Calibri"/>
                <w:bCs/>
                <w:sz w:val="28"/>
                <w:szCs w:val="28"/>
              </w:rPr>
              <w:t xml:space="preserve">б</w:t>
            </w:r>
            <w:r>
              <w:rPr>
                <w:rFonts w:eastAsia="Calibri"/>
                <w:bCs/>
                <w:sz w:val="28"/>
                <w:szCs w:val="28"/>
              </w:rPr>
              <w:t xml:space="preserve">сидии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eastAsia="Calibri"/>
                <w:bCs/>
                <w:sz w:val="28"/>
                <w:szCs w:val="28"/>
              </w:rPr>
              <w:t xml:space="preserve">Источник ф</w:t>
            </w:r>
            <w:r>
              <w:rPr>
                <w:rFonts w:eastAsia="Calibri"/>
                <w:bCs/>
                <w:sz w:val="28"/>
                <w:szCs w:val="28"/>
              </w:rPr>
              <w:t xml:space="preserve">и</w:t>
            </w:r>
            <w:r>
              <w:rPr>
                <w:rFonts w:eastAsia="Calibri"/>
                <w:bCs/>
                <w:sz w:val="28"/>
                <w:szCs w:val="28"/>
              </w:rPr>
              <w:t xml:space="preserve">нансирования</w:t>
            </w:r>
            <w:r/>
            <w:r/>
          </w:p>
        </w:tc>
        <w:tc>
          <w:tcPr>
            <w:tcW w:w="26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Размер субсидий на иные цели, тыс. руб.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6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64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07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3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264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4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  <w:tr>
        <w:tblPrEx/>
        <w:trPr>
          <w:trHeight w:val="547"/>
        </w:trPr>
        <w:tc>
          <w:tcPr>
            <w:tcW w:w="665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643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Субсидии на выполн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 работ по р</w:t>
            </w:r>
            <w:r>
              <w:rPr>
                <w:sz w:val="28"/>
                <w:szCs w:val="28"/>
              </w:rPr>
              <w:t xml:space="preserve">емонт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 сетей наружного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щения в рамках реализации инициативных проектов на территории города Перми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076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бюджет города Перми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264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889,309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W w:w="665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643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076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внебюджетные источн</w:t>
            </w:r>
            <w:r>
              <w:rPr>
                <w:rFonts w:eastAsia="Calibri"/>
                <w:bCs/>
                <w:sz w:val="28"/>
                <w:szCs w:val="28"/>
              </w:rPr>
              <w:t xml:space="preserve">и</w:t>
            </w:r>
            <w:r>
              <w:rPr>
                <w:rFonts w:eastAsia="Calibri"/>
                <w:bCs/>
                <w:sz w:val="28"/>
                <w:szCs w:val="28"/>
              </w:rPr>
              <w:t xml:space="preserve">ки </w:t>
              <w:br/>
              <w:t xml:space="preserve">(средства инициативных платежей)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264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46,806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gridSpan w:val="2"/>
            <w:tcW w:w="4308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lef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Всего</w:t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076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2645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936,115</w:t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7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680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22.02.2019 11:22:00</w:t>
    </w:r>
    <w:r>
      <w:rPr>
        <w:sz w:val="16"/>
      </w:rPr>
      <w:fldChar w:fldCharType="end"/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ГГ пост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1"/>
      </w:rPr>
      <w:framePr w:wrap="around" w:vAnchor="text" w:hAnchor="margin" w:xAlign="center" w:y="1"/>
    </w:pPr>
    <w:r>
      <w:rPr>
        <w:rStyle w:val="681"/>
      </w:rPr>
    </w:r>
    <w:r>
      <w:rPr>
        <w:rStyle w:val="681"/>
      </w:rPr>
    </w:r>
  </w:p>
  <w:p>
    <w:pPr>
      <w:pStyle w:val="6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1"/>
      </w:rPr>
      <w:framePr w:wrap="around" w:vAnchor="text" w:hAnchor="margin" w:xAlign="center" w:y="1"/>
    </w:pPr>
    <w:r>
      <w:rPr>
        <w:rStyle w:val="681"/>
      </w:rPr>
      <w:fldChar w:fldCharType="begin"/>
    </w:r>
    <w:r>
      <w:rPr>
        <w:rStyle w:val="681"/>
      </w:rPr>
      <w:instrText xml:space="preserve">PAGE  </w:instrText>
    </w:r>
    <w:r>
      <w:rPr>
        <w:rStyle w:val="681"/>
      </w:rPr>
      <w:fldChar w:fldCharType="end"/>
    </w:r>
    <w:r>
      <w:rPr>
        <w:rStyle w:val="681"/>
      </w:rPr>
    </w:r>
    <w:r>
      <w:rPr>
        <w:rStyle w:val="681"/>
      </w:rPr>
    </w:r>
  </w:p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next w:val="671"/>
    <w:link w:val="671"/>
    <w:qFormat/>
    <w:rPr>
      <w:lang w:val="ru-RU" w:eastAsia="ru-RU" w:bidi="ar-SA"/>
    </w:rPr>
  </w:style>
  <w:style w:type="paragraph" w:styleId="672">
    <w:name w:val="Заголовок 1"/>
    <w:basedOn w:val="671"/>
    <w:next w:val="671"/>
    <w:link w:val="671"/>
    <w:qFormat/>
    <w:pPr>
      <w:ind w:right="-1" w:firstLine="709"/>
      <w:jc w:val="both"/>
      <w:keepNext/>
      <w:outlineLvl w:val="0"/>
    </w:pPr>
    <w:rPr>
      <w:sz w:val="24"/>
    </w:rPr>
  </w:style>
  <w:style w:type="paragraph" w:styleId="673">
    <w:name w:val="Заголовок 2"/>
    <w:basedOn w:val="671"/>
    <w:next w:val="671"/>
    <w:link w:val="671"/>
    <w:qFormat/>
    <w:pPr>
      <w:ind w:right="-1"/>
      <w:jc w:val="both"/>
      <w:keepNext/>
      <w:outlineLvl w:val="1"/>
    </w:pPr>
    <w:rPr>
      <w:sz w:val="24"/>
    </w:rPr>
  </w:style>
  <w:style w:type="character" w:styleId="674">
    <w:name w:val="Основной шрифт абзаца"/>
    <w:next w:val="674"/>
    <w:link w:val="671"/>
    <w:semiHidden/>
  </w:style>
  <w:style w:type="table" w:styleId="675">
    <w:name w:val="Обычная таблица"/>
    <w:next w:val="675"/>
    <w:link w:val="671"/>
    <w:semiHidden/>
    <w:tblPr/>
  </w:style>
  <w:style w:type="numbering" w:styleId="676">
    <w:name w:val="Нет списка"/>
    <w:next w:val="676"/>
    <w:link w:val="671"/>
    <w:semiHidden/>
  </w:style>
  <w:style w:type="paragraph" w:styleId="677">
    <w:name w:val="Название объекта"/>
    <w:basedOn w:val="671"/>
    <w:next w:val="671"/>
    <w:link w:val="67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8">
    <w:name w:val="Основной текст"/>
    <w:basedOn w:val="671"/>
    <w:next w:val="678"/>
    <w:link w:val="671"/>
    <w:pPr>
      <w:ind w:right="3117"/>
    </w:pPr>
    <w:rPr>
      <w:rFonts w:ascii="Courier New" w:hAnsi="Courier New"/>
      <w:sz w:val="26"/>
    </w:rPr>
  </w:style>
  <w:style w:type="paragraph" w:styleId="679">
    <w:name w:val="Основной текст с отступом"/>
    <w:basedOn w:val="671"/>
    <w:next w:val="679"/>
    <w:link w:val="671"/>
    <w:pPr>
      <w:ind w:right="-1"/>
      <w:jc w:val="both"/>
    </w:pPr>
    <w:rPr>
      <w:sz w:val="26"/>
    </w:rPr>
  </w:style>
  <w:style w:type="paragraph" w:styleId="680">
    <w:name w:val="Нижний колонтитул"/>
    <w:basedOn w:val="671"/>
    <w:next w:val="680"/>
    <w:link w:val="671"/>
    <w:pPr>
      <w:tabs>
        <w:tab w:val="center" w:pos="4153" w:leader="none"/>
        <w:tab w:val="right" w:pos="8306" w:leader="none"/>
      </w:tabs>
    </w:pPr>
  </w:style>
  <w:style w:type="character" w:styleId="681">
    <w:name w:val="Номер страницы"/>
    <w:basedOn w:val="674"/>
    <w:next w:val="681"/>
    <w:link w:val="671"/>
  </w:style>
  <w:style w:type="paragraph" w:styleId="682">
    <w:name w:val="Верхний колонтитул"/>
    <w:basedOn w:val="671"/>
    <w:next w:val="682"/>
    <w:link w:val="671"/>
    <w:pPr>
      <w:tabs>
        <w:tab w:val="center" w:pos="4153" w:leader="none"/>
        <w:tab w:val="right" w:pos="8306" w:leader="none"/>
      </w:tabs>
    </w:pPr>
  </w:style>
  <w:style w:type="paragraph" w:styleId="683">
    <w:name w:val="Текст выноски"/>
    <w:basedOn w:val="671"/>
    <w:next w:val="683"/>
    <w:link w:val="684"/>
    <w:rPr>
      <w:rFonts w:ascii="Segoe UI" w:hAnsi="Segoe UI" w:cs="Segoe UI"/>
      <w:sz w:val="18"/>
      <w:szCs w:val="18"/>
    </w:rPr>
  </w:style>
  <w:style w:type="character" w:styleId="684">
    <w:name w:val="Текст выноски Знак"/>
    <w:next w:val="684"/>
    <w:link w:val="683"/>
    <w:rPr>
      <w:rFonts w:ascii="Segoe UI" w:hAnsi="Segoe UI" w:cs="Segoe UI"/>
      <w:sz w:val="18"/>
      <w:szCs w:val="18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  <w:style w:type="paragraph" w:styleId="1_418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2018-05-07T05:59:00Z</dcterms:created>
  <dcterms:modified xsi:type="dcterms:W3CDTF">2024-08-27T10:06:30Z</dcterms:modified>
  <cp:version>983040</cp:version>
</cp:coreProperties>
</file>