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-550544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61794"/>
                          <a:chOff x="0" y="0"/>
                          <a:chExt cx="6285864" cy="166179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507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3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6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2"/>
                                <w:widowControl w:val="off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2"/>
                                <w:widowControl w:val="off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64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13500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2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13531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2"/>
                              </w:pP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35pt;mso-position-vertical:absolute;width:494.95pt;height:130.85pt;mso-wrap-distance-left:9.00pt;mso-wrap-distance-top:0.00pt;mso-wrap-distance-right:9.00pt;mso-wrap-distance-bottom:0.00pt;" coordorigin="0,0" coordsize="62858,16617">
                <v:shape id="shape 3" o:spid="_x0000_s3" o:spt="202" type="#_x0000_t202" style="position:absolute;left:0;top:0;width:62858;height:15074;visibility:visible;" fillcolor="#FFFFFF" stroked="f">
                  <v:textbox inset="0,0,0,0">
                    <w:txbxContent>
                      <w:p>
                        <w:pPr>
                          <w:pStyle w:val="673"/>
                          <w:tabs>
                            <w:tab w:val="clear" w:pos="4153" w:leader="none"/>
                            <w:tab w:val="clear" w:pos="8306" w:leader="none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6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2"/>
                          <w:widowControl w:val="off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2"/>
                          <w:widowControl w:val="off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64"/>
                          <w:jc w:val="center"/>
                        </w:pPr>
                      </w:p>
                    </w:txbxContent>
                  </v:textbox>
                </v:shape>
                <v:shape id="shape 4" o:spid="_x0000_s4" o:spt="202" type="#_x0000_t202" style="position:absolute;left:2584;top:13500;width:15360;height:3086;visibility:visible;" filled="f" stroked="f">
                  <v:textbox inset="0,0,0,0">
                    <w:txbxContent>
                      <w:p>
                        <w:pPr>
                          <w:pStyle w:val="66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2"/>
                        </w:pPr>
                      </w:p>
                    </w:txbxContent>
                  </v:textbox>
                </v:shape>
                <v:shape id="shape 5" o:spid="_x0000_s5" o:spt="202" type="#_x0000_t202" style="position:absolute;left:49402;top:13531;width:10858;height:3086;visibility:visible;" fillcolor="#FFFFFF" stroked="f">
                  <v:textbox inset="0,0,0,0">
                    <w:txbxContent>
                      <w:p>
                        <w:pPr>
                          <w:pStyle w:val="66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2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6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6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Методику</w:t>
      </w:r>
      <w:r>
        <w:rPr>
          <w:b/>
          <w:bCs/>
          <w:sz w:val="28"/>
          <w:szCs w:val="28"/>
        </w:rPr>
      </w:r>
    </w:p>
    <w:p>
      <w:pPr>
        <w:pStyle w:val="6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расчета нормативных затрат</w:t>
      </w:r>
      <w:r>
        <w:rPr>
          <w:b/>
          <w:bCs/>
          <w:sz w:val="28"/>
          <w:szCs w:val="28"/>
        </w:rPr>
      </w:r>
    </w:p>
    <w:p>
      <w:pPr>
        <w:pStyle w:val="6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содержанию имущества </w:t>
      </w:r>
      <w:r>
        <w:rPr>
          <w:b/>
          <w:bCs/>
          <w:sz w:val="28"/>
          <w:szCs w:val="28"/>
        </w:rPr>
      </w:r>
    </w:p>
    <w:p>
      <w:pPr>
        <w:pStyle w:val="6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обеспечению деятельности</w:t>
      </w:r>
      <w:r>
        <w:rPr>
          <w:b/>
          <w:bCs/>
          <w:sz w:val="28"/>
          <w:szCs w:val="28"/>
        </w:rPr>
      </w:r>
    </w:p>
    <w:p>
      <w:pPr>
        <w:pStyle w:val="6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общественных центров </w:t>
      </w:r>
      <w:r>
        <w:rPr>
          <w:b/>
          <w:bCs/>
          <w:sz w:val="28"/>
          <w:szCs w:val="28"/>
        </w:rPr>
      </w:r>
    </w:p>
    <w:p>
      <w:pPr>
        <w:pStyle w:val="6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Перми, утвержденную</w:t>
      </w:r>
      <w:r>
        <w:rPr>
          <w:b/>
          <w:bCs/>
          <w:sz w:val="28"/>
          <w:szCs w:val="28"/>
        </w:rPr>
      </w:r>
    </w:p>
    <w:p>
      <w:pPr>
        <w:pStyle w:val="6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постановлением администрации</w:t>
      </w:r>
      <w:r>
        <w:rPr>
          <w:b/>
          <w:bCs/>
          <w:sz w:val="28"/>
          <w:szCs w:val="28"/>
        </w:rPr>
      </w:r>
    </w:p>
    <w:p>
      <w:pPr>
        <w:pStyle w:val="6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 от 14 декабря 2011 г. № 845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целях актуализации правовой базы администрации города Перми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Внести в Методику расчета нормативных затрат по содержанию имущества и обеспечению деятельности общественных центров города Перми, утвержденную постановлением администрации города Перми от 14 декабря 2011 г. № 845 (в ред. от 01.08.2012 № 424, от 12.08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.2013 № 647, от 01.10.2013 № 800, </w:t>
        <w:br/>
        <w:t xml:space="preserve"> от 25.03.2014 № 194, от 16.12.2014 № 987, от 12.08.2015 № 558, от 15.10.2015 </w:t>
        <w:br/>
        <w:t xml:space="preserve"> № 779, от 08.12.2015 № 1034, от 05.09.2016 № 646, от 17.10.2016 № 856, </w:t>
        <w:br/>
        <w:t xml:space="preserve"> от 02.02.2017 № 69, от 27.04.2017 № 325, от 19.10.2017 № 882, от 03.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04.2018 </w:t>
        <w:br/>
        <w:t xml:space="preserve"> № 201, от 14.09.2018 № 605, от 22.10.2019 № 766, от 14.07.2020 № 611, </w:t>
        <w:br/>
        <w:t xml:space="preserve"> от 09.10.2020 № 948, от 25.02.2021 № 107, от 21.07.2021 № 534, от 28.09.2021 </w:t>
        <w:br/>
        <w:t xml:space="preserve"> № 769, от 15.07.2022 № 608, от 22.08.2022 № 702, от 20.02.2023 № 130, </w:t>
        <w:br/>
        <w:t xml:space="preserve"> от 09.10.2023 № 949, 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27.11.2023 № 1306, от 13.05.2024 № 351), следующие изменения: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1.1. в шестом абзаце раздела 3 слова «с 2017 года являются цены и тарифы на 1 января 2016 г.» заменить словами «с 2025 года являются фактические расходы 2023 года с применением индекса потребительских цен.»;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1.2. в пункте 4.1 цифры «296,08» заменить цифрами «287,1633»;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1.3. пункт 4.2 изложить в следующей редакции: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«4.2. В состав норматива включаются расходы по следующим </w:t>
        <w:br/>
        <w:t xml:space="preserve"> направлениям: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after="0" w:line="288" w:lineRule="atLeast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оплату услуг связи;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after="0" w:line="288" w:lineRule="atLeast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оплату коммунальных услуг;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after="0" w:line="288" w:lineRule="atLeast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оплату прочих работ, услуг;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after="0" w:line="288" w:lineRule="atLeast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прочие расходы;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after="0" w:line="288" w:lineRule="atLeast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увеличение стоимости материальных запасов;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after="0" w:line="288" w:lineRule="atLeast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увеличение стоимости основных средств.»;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1.4. абзацы второй-четвертый пункта 4.3 изложить в следующей редакции: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«общественный центр площадью от 601 кв. м (Р=1);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2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общественный центр площадью от 201 до 600 кв. м (Р=1,2);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2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общественный центр площадью до 200 кв. м (Р=2,2);»;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2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1.5. раздел 5 изложить в следующей редакции: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54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«5.1. Расчет норматива в части оплаты услуг связи.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line="288" w:lineRule="atLeast"/>
        <w:ind w:left="0" w:right="0" w:firstLine="54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Расходы на оплату услуг связи определяются из фактической стоимости тарифов базисного периода с применением среднегодового индекса потребительских цен на очередной финансовый год и плановый период. В качестве исходных данных принимается факти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ческое количество телефонных точек в общественном центре, расходы на услуги сети Интернет.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line="288" w:lineRule="atLeast"/>
        <w:ind w:left="0" w:right="0" w:firstLine="54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Расчет норматива в части оплаты услуг связи производится по формуле: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8" w:lineRule="atLeast"/>
        <w:ind w:left="0" w:right="0" w:firstLine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0"/>
        <w:jc w:val="center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Норматив в части оплаты услуг связи =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0"/>
        <w:jc w:val="center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= расходы на оплату услуг связи / площадь общественного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0"/>
        <w:jc w:val="center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центра x индекс.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8" w:lineRule="atLeast"/>
        <w:ind w:left="0" w:right="0" w:firstLine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line="288" w:lineRule="atLeast"/>
        <w:ind w:left="0" w:right="0" w:firstLine="54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5.2. Расчет норматива в части оплаты коммунальных услуг.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line="288" w:lineRule="atLeast"/>
        <w:ind w:left="0" w:right="0" w:firstLine="54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Расходы на оплату коммунальных услуг рассчитываются из фактического объема потребления топливно-энергетических ресурсов на 1 кв. м площади общественного центра, определенного расчетным путем из фактических объемов потребления услуг в натуральном выражении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 год, предшествующий текущему году, тарифа базисного периода, с применением индекса на очередной финансовый год и плановый период.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line="288" w:lineRule="atLeast"/>
        <w:ind w:left="0" w:right="0" w:firstLine="54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Расчет норматива в части оплаты коммунальных услуг производится по формуле: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8" w:lineRule="atLeast"/>
        <w:ind w:left="0" w:right="0" w:firstLine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0"/>
        <w:jc w:val="center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Норматив в части оплаты коммунальных услуг =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0"/>
        <w:jc w:val="center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= расходы на оплату коммунальных услуг / площадь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0"/>
        <w:jc w:val="center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общественного центра x индекс.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8" w:lineRule="atLeast"/>
        <w:ind w:left="0" w:right="0" w:firstLine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line="288" w:lineRule="atLeast"/>
        <w:ind w:left="0" w:right="0" w:firstLine="54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5.3. Расчет норматива в части оплаты прочих работ, услуг.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line="288" w:lineRule="atLeast"/>
        <w:ind w:left="0" w:right="0" w:firstLine="54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Прочие работы, услуги включают в себя расходы на: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line="288" w:lineRule="atLeast"/>
        <w:ind w:left="0" w:right="0" w:firstLine="54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услуги по содержанию имущества (техническое обслуживание зданий, дезинсекция и дератизация, уборка помещений, взносы на капитальный ремонт, услуги по разработке проектно-сметной документации для ремонтных работ), уборку помещений (клининговые услуги);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line="288" w:lineRule="atLeast"/>
        <w:ind w:left="0" w:right="0" w:firstLine="54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 охранно-пожарные услуги;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line="288" w:lineRule="atLeast"/>
        <w:ind w:left="0" w:right="0" w:firstLine="54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услуги администраторов, вахтеров.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line="288" w:lineRule="atLeast"/>
        <w:ind w:left="0" w:right="0" w:firstLine="54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Стоимость прочих работ, услуг определяются из фактической стоимости услуг базисного периода с применением среднегодового индекса потребительских цен на очередной финансовый год и плановый период.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8" w:lineRule="atLeast"/>
        <w:ind w:left="0" w:right="0" w:firstLine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Расчет норматива в части прочих работ услуг осуществляется по формуле:  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8" w:lineRule="atLeast"/>
        <w:ind w:left="0" w:right="0" w:firstLine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0"/>
        <w:jc w:val="center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Прочие работы, услуги = расходы на оплату прочих работ, услуг / площадь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0"/>
        <w:jc w:val="center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общественного центра x индекс.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8" w:lineRule="atLeast"/>
        <w:ind w:left="0" w:right="0" w:firstLine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line="288" w:lineRule="atLeast"/>
        <w:ind w:left="0" w:right="0" w:firstLine="54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5.4. Расчет норматива в части оплаты прочих расходов.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line="288" w:lineRule="atLeast"/>
        <w:ind w:left="0" w:right="0" w:firstLine="54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Прочие расходы (налог на имущество организаций, земельный налог, банковские услуги, арендная плата).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line="288" w:lineRule="atLeast"/>
        <w:ind w:left="0" w:right="0" w:firstLine="54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Стоимость прочих расходов включает: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line="288" w:lineRule="atLeast"/>
        <w:ind w:left="0" w:right="0" w:firstLine="540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налог на имущество организаций; </w:t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line="288" w:lineRule="atLeast"/>
        <w:ind w:left="0" w:right="0" w:firstLine="540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земельный налог;</w:t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line="288" w:lineRule="atLeast"/>
        <w:ind w:left="0" w:right="0" w:firstLine="540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банковские услуги;</w:t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line="288" w:lineRule="atLeast"/>
        <w:ind w:left="0" w:right="0" w:firstLine="540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арендная плата.</w:t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line="288" w:lineRule="atLeast"/>
        <w:ind w:left="0" w:right="0" w:firstLine="540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Налог на имущество организаций определяется как произведение остаточной стоимости основных средств, определенной на основании отчетности по состоянию на 1 января текущего года, и размера налоговой ставки в объеме 2,2%. </w:t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line="288" w:lineRule="atLeast"/>
        <w:ind w:left="0" w:right="0" w:firstLine="540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Земельный налог определяется как произведение кадастровой стоимости земельного участка, определенной на основании деклараций по состоянию на 1 января текущего года, и размера налоговой ставки в объеме 1,5%.</w:t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line="288" w:lineRule="atLeast"/>
        <w:ind w:left="0" w:right="0" w:firstLine="540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Банковские услуги определяются как фактические расходы базисного периода с применением среднегодового индекса потребительских цен на очередной финансовый год и плановый период.</w:t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line="288" w:lineRule="atLeast"/>
        <w:ind w:left="0" w:right="0" w:firstLine="540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Арендная плата включается по фактической потребности.</w:t>
      </w:r>
      <w:r>
        <w:rPr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line="288" w:lineRule="atLeast"/>
        <w:ind w:left="0" w:right="0" w:firstLine="54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5.5. Расчет норматива в части увеличения стоимости материал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ьных запасов.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line="288" w:lineRule="atLeast"/>
        <w:ind w:left="0" w:right="0" w:firstLine="54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Расчет норматива на приобретение материальных запасов (приобретение материалов для хозяйственных нужд, приобретение канцелярских принадлежностей, приобретение прочих материальных запасов) определяется из фактических расходов на единицу площади общественног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центра по тарифам базисного периода, с применением индекса на очередной финансовый год и плановый период.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line="288" w:lineRule="atLeast"/>
        <w:ind w:left="0" w:right="0" w:firstLine="54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Расходы определены из минимальной потребности на обеспечение деятельности общественного центра.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line="288" w:lineRule="atLeast"/>
        <w:ind w:left="0" w:right="0" w:firstLine="54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5.6. Расчет норматива в части увеличения стоимости основных средств.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line="288" w:lineRule="atLeast"/>
        <w:ind w:left="0" w:right="0" w:firstLine="54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расчет стоимости приобретения основных средств включены фактические расходы базисного периода на приобретение оборудования, хозяйственного инвентаря.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line="288" w:lineRule="atLeast"/>
        <w:ind w:left="0" w:right="0" w:firstLine="54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Расчет норматива на приобретение основных средств определяется из фактических расходов базисного периода на единицу площади общественного центра по ценам и тарифам базисного периода, с применением индекса на очередной финансовый год и плановый период. Расх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оды определены из минимальной потребности по обеспечению деятельности общественных центров и сроков эксплуатации оборудования и инвентаря.»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2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2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1.6. абзац первый раздела 6 изложить в следующей редакции: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54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«Объем расходов на содержание имущества и обеспечение деятельности общественных центров города Перми определяется как сумма всех расходов, включенных в норматив и поименованных в пункте 4.2 настоящей Методики, на </w:t>
        <w:br/>
        <w:t xml:space="preserve"> 1 кв. м площади общественного центра с уч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етом дифференциации по соответствующему объему площади общественных центров в расчете на год и с применением среднегодового индекса потребительских цен.»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2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в приложении: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2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 таблицы с 1 по 7 признать утратившими силу;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2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2.2. таблицу 8 изложить в редакции в соответствии с приложением к настоящему постановлению.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при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меняется к правоотношениям, начиная с правоотношений, возникающих при формировании проекта бюджета города Перми на 2025 год и на плановый период 2026 и 2027 годов.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образования город Пермь».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</w:t>
        <w:br/>
        <w:t xml:space="preserve"> на заместителя главы администрации города Перми Трошкова С.В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39" w:lineRule="atLeast"/>
        <w:ind w:left="0" w:right="0" w:firstLine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Глава города Перми</w:t>
        <w:tab/>
        <w:tab/>
        <w:tab/>
        <w:tab/>
        <w:t xml:space="preserve">                                                Э.О. Соснин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0"/>
      </w:pPr>
      <w:r>
        <w:br w:type="page" w:clear="all"/>
      </w:r>
      <w:r>
        <w:rPr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39" w:lineRule="atLeast"/>
        <w:ind w:left="5102" w:right="0" w:firstLine="709"/>
        <w:jc w:val="both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Приложение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39" w:lineRule="atLeast"/>
        <w:ind w:left="5102" w:right="0" w:firstLine="709"/>
        <w:jc w:val="both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 постановлению администрации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39" w:lineRule="atLeast"/>
        <w:ind w:left="5102" w:right="0" w:firstLine="709"/>
        <w:jc w:val="both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города Перми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39" w:lineRule="atLeast"/>
        <w:ind w:left="5102" w:right="0" w:firstLine="709"/>
        <w:jc w:val="both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от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09"/>
        <w:jc w:val="both"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39" w:lineRule="atLeast"/>
        <w:ind w:left="0" w:right="0" w:firstLine="0"/>
        <w:jc w:val="center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НОРМАТИВНЫЕ ЗАТРАТЫ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39" w:lineRule="atLeast"/>
        <w:ind w:left="0" w:right="0" w:firstLine="0"/>
        <w:jc w:val="center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 содержанию имущества и обеспечению деятельности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39" w:lineRule="atLeast"/>
        <w:ind w:left="0" w:right="0" w:firstLine="0"/>
        <w:jc w:val="center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общественных центров города Перми на 1 кв. м </w:t>
      </w:r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575"/>
        <w:gridCol w:w="1701"/>
      </w:tblGrid>
      <w:tr>
        <w:trPr/>
        <w:tblPrEx/>
        <w:tc>
          <w:tcPr>
            <w:tcW w:w="7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затрат</w:t>
            </w:r>
          </w:p>
        </w:tc>
        <w:tc>
          <w:tcPr>
            <w:tcW w:w="1701" w:type="dxa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Расходы на 1 кв. м в год, руб.</w:t>
            </w:r>
          </w:p>
        </w:tc>
      </w:tr>
      <w:tr>
        <w:trPr>
          <w:trHeight w:val="206"/>
        </w:trPr>
        <w:tblPrEx/>
        <w:tc>
          <w:tcPr>
            <w:tcW w:w="7575" w:type="dxa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</w:t>
            </w:r>
          </w:p>
        </w:tc>
      </w:tr>
      <w:tr>
        <w:trPr/>
        <w:tblPrEx/>
        <w:tc>
          <w:tcPr>
            <w:tcW w:w="7575" w:type="dxa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Расходы на оплату услуг связи (телефония, Интернет)</w:t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</w:p>
        </w:tc>
      </w:tr>
      <w:tr>
        <w:trPr/>
        <w:tblPrEx/>
        <w:tc>
          <w:tcPr>
            <w:tcW w:w="7575" w:type="dxa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Расходы на оплату коммунальных услуг (отопление, холодное и горячее водоснабжение, электроэнергия, вывоз твердых бытовых отходов, водоотведение)</w:t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</w:p>
        </w:tc>
      </w:tr>
      <w:tr>
        <w:trPr>
          <w:trHeight w:val="380"/>
        </w:trPr>
        <w:tblPrEx/>
        <w:tc>
          <w:tcPr>
            <w:tcW w:w="7575" w:type="dxa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Расходы на оплату прочих работ, услуг, в том числе:</w:t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</w:p>
        </w:tc>
      </w:tr>
      <w:tr>
        <w:trPr/>
        <w:tblPrEx/>
        <w:tc>
          <w:tcPr>
            <w:tcW w:w="7575" w:type="dxa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 по содержанию имущества (техническое обслуживание зданий, дезинсекция и дератизация, уборка помещений (клининговые услуги), взносы на капитальный ремонт, услуги по разработке проектно-сметной документации для ремонтных работ)</w:t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</w:p>
        </w:tc>
      </w:tr>
      <w:tr>
        <w:trPr/>
        <w:tblPrEx/>
        <w:tc>
          <w:tcPr>
            <w:tcW w:w="7575" w:type="dxa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 охранно-пожарные услуги </w:t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</w:p>
        </w:tc>
      </w:tr>
      <w:tr>
        <w:trPr/>
        <w:tblPrEx/>
        <w:tc>
          <w:tcPr>
            <w:tcW w:w="7575" w:type="dxa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 услуги администраторов, вахтеров</w:t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</w:p>
        </w:tc>
      </w:tr>
      <w:tr>
        <w:trPr/>
        <w:tblPrEx/>
        <w:tc>
          <w:tcPr>
            <w:tcW w:w="7575" w:type="dxa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Прочие расходы (налог на имущество организаций, земельный налог, банковские услуги, арендная плата)</w:t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</w:p>
        </w:tc>
      </w:tr>
      <w:tr>
        <w:trPr/>
        <w:tblPrEx/>
        <w:tc>
          <w:tcPr>
            <w:tcW w:w="7575" w:type="dxa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Расходы на увеличение стоимости материальных запасов (приобретение материалов для хозяйственных нужд, канцелярских принадлежностей и прочих материальных запасов)</w:t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</w:p>
        </w:tc>
      </w:tr>
      <w:tr>
        <w:trPr/>
        <w:tblPrEx/>
        <w:tc>
          <w:tcPr>
            <w:tcW w:w="7575" w:type="dxa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Расходы на увеличение стоимости основных средств (приобретение оборудования и хозяйственного инвентаря)</w:t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</w:p>
        </w:tc>
      </w:tr>
      <w:tr>
        <w:trPr/>
        <w:tblPrEx/>
        <w:tc>
          <w:tcPr>
            <w:tcW w:w="7575" w:type="dxa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Итого на 1 кв. м (площадь общественного центра от 601 кв. м), кв. м (Р = 1)</w:t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</w:p>
        </w:tc>
      </w:tr>
      <w:tr>
        <w:trPr/>
        <w:tblPrEx/>
        <w:tc>
          <w:tcPr>
            <w:tcW w:w="7575" w:type="dxa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Итого на 1 кв. м (площадь общественного центра от 201 до 600 кв. м), кв. м (Р = 1,2)</w:t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</w:p>
        </w:tc>
      </w:tr>
      <w:tr>
        <w:trPr/>
        <w:tblPrEx/>
        <w:tc>
          <w:tcPr>
            <w:tcW w:w="7575" w:type="dxa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Итого на 1 кв. м (площадь общественного центра до 200 кв. м), кв. м (Р = 2,2)</w:t>
            </w:r>
          </w:p>
        </w:tc>
        <w:tc>
          <w:tcPr>
            <w:tcW w:w="1701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ind w:left="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</w:p>
        </w:tc>
      </w:tr>
    </w:tbl>
    <w:p>
      <w:pPr>
        <w:pStyle w:val="66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67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3"/>
      <w:framePr w:wrap="around" w:vAnchor="text" w:hAnchor="margin" w:xAlign="center" w:y="1"/>
      <w:rPr>
        <w:rStyle w:val="672"/>
      </w:rPr>
    </w:pPr>
    <w:r>
      <w:rPr>
        <w:rStyle w:val="672"/>
      </w:rPr>
      <w:fldChar w:fldCharType="begin"/>
    </w:r>
    <w:r>
      <w:rPr>
        <w:rStyle w:val="672"/>
      </w:rPr>
      <w:instrText xml:space="preserve">PAGE  </w:instrText>
    </w:r>
    <w:r>
      <w:rPr>
        <w:rStyle w:val="672"/>
      </w:rPr>
      <w:fldChar w:fldCharType="end"/>
    </w:r>
    <w:r>
      <w:rPr>
        <w:rStyle w:val="672"/>
      </w:rPr>
    </w:r>
    <w:r>
      <w:rPr>
        <w:rStyle w:val="672"/>
      </w:rPr>
    </w:r>
  </w:p>
  <w:p>
    <w:pPr>
      <w:pStyle w:val="67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2"/>
    <w:next w:val="662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2"/>
    <w:next w:val="662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2"/>
    <w:next w:val="662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2"/>
    <w:next w:val="662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2"/>
    <w:next w:val="662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2"/>
    <w:next w:val="662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2"/>
    <w:next w:val="662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2"/>
    <w:next w:val="662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2"/>
    <w:next w:val="662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2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2"/>
    <w:next w:val="662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2"/>
    <w:next w:val="66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2"/>
    <w:next w:val="66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2"/>
    <w:next w:val="662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2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2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2"/>
    <w:next w:val="662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62"/>
    <w:next w:val="662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62"/>
    <w:next w:val="662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62"/>
    <w:next w:val="662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62"/>
    <w:next w:val="662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62"/>
    <w:next w:val="662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62"/>
    <w:next w:val="662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62"/>
    <w:next w:val="662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62"/>
    <w:next w:val="662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next w:val="662"/>
    <w:link w:val="662"/>
    <w:qFormat/>
    <w:rPr>
      <w:lang w:val="ru-RU" w:eastAsia="ru-RU" w:bidi="ar-SA"/>
    </w:rPr>
  </w:style>
  <w:style w:type="paragraph" w:styleId="663">
    <w:name w:val="Заголовок 1"/>
    <w:basedOn w:val="662"/>
    <w:next w:val="662"/>
    <w:link w:val="662"/>
    <w:qFormat/>
    <w:pPr>
      <w:keepNext/>
      <w:ind w:right="-1" w:firstLine="709"/>
      <w:jc w:val="both"/>
      <w:outlineLvl w:val="0"/>
    </w:pPr>
    <w:rPr>
      <w:sz w:val="24"/>
    </w:rPr>
  </w:style>
  <w:style w:type="paragraph" w:styleId="664">
    <w:name w:val="Заголовок 2"/>
    <w:basedOn w:val="662"/>
    <w:next w:val="662"/>
    <w:link w:val="662"/>
    <w:qFormat/>
    <w:pPr>
      <w:keepNext/>
      <w:ind w:right="-1"/>
      <w:jc w:val="both"/>
      <w:outlineLvl w:val="1"/>
    </w:pPr>
    <w:rPr>
      <w:sz w:val="24"/>
    </w:rPr>
  </w:style>
  <w:style w:type="character" w:styleId="665">
    <w:name w:val="Основной шрифт абзаца"/>
    <w:next w:val="665"/>
    <w:link w:val="662"/>
    <w:semiHidden/>
  </w:style>
  <w:style w:type="table" w:styleId="666">
    <w:name w:val="Обычная таблица"/>
    <w:next w:val="666"/>
    <w:link w:val="662"/>
    <w:semiHidden/>
    <w:tblPr/>
  </w:style>
  <w:style w:type="numbering" w:styleId="667">
    <w:name w:val="Нет списка"/>
    <w:next w:val="667"/>
    <w:link w:val="662"/>
    <w:semiHidden/>
  </w:style>
  <w:style w:type="paragraph" w:styleId="668">
    <w:name w:val="Название объекта"/>
    <w:basedOn w:val="662"/>
    <w:next w:val="662"/>
    <w:link w:val="662"/>
    <w:qFormat/>
    <w:pPr>
      <w:widowControl w:val="off"/>
      <w:spacing w:line="360" w:lineRule="exact"/>
      <w:jc w:val="center"/>
    </w:pPr>
    <w:rPr>
      <w:b/>
      <w:sz w:val="32"/>
    </w:rPr>
  </w:style>
  <w:style w:type="paragraph" w:styleId="669">
    <w:name w:val="Основной текст"/>
    <w:basedOn w:val="662"/>
    <w:next w:val="669"/>
    <w:link w:val="697"/>
    <w:pPr>
      <w:ind w:right="3117"/>
    </w:pPr>
    <w:rPr>
      <w:rFonts w:ascii="Courier New" w:hAnsi="Courier New"/>
      <w:sz w:val="26"/>
    </w:rPr>
  </w:style>
  <w:style w:type="paragraph" w:styleId="670">
    <w:name w:val="Основной текст с отступом"/>
    <w:basedOn w:val="662"/>
    <w:next w:val="670"/>
    <w:link w:val="662"/>
    <w:pPr>
      <w:ind w:right="-1"/>
      <w:jc w:val="both"/>
    </w:pPr>
    <w:rPr>
      <w:sz w:val="26"/>
    </w:rPr>
  </w:style>
  <w:style w:type="paragraph" w:styleId="671">
    <w:name w:val="Нижний колонтитул"/>
    <w:basedOn w:val="662"/>
    <w:next w:val="671"/>
    <w:link w:val="756"/>
    <w:uiPriority w:val="99"/>
    <w:pPr>
      <w:tabs>
        <w:tab w:val="center" w:pos="4153" w:leader="none"/>
        <w:tab w:val="right" w:pos="8306" w:leader="none"/>
      </w:tabs>
    </w:pPr>
  </w:style>
  <w:style w:type="character" w:styleId="672">
    <w:name w:val="Номер страницы"/>
    <w:basedOn w:val="665"/>
    <w:next w:val="672"/>
    <w:link w:val="662"/>
  </w:style>
  <w:style w:type="paragraph" w:styleId="673">
    <w:name w:val="Верхний колонтитул"/>
    <w:basedOn w:val="662"/>
    <w:next w:val="673"/>
    <w:link w:val="676"/>
    <w:uiPriority w:val="99"/>
    <w:pPr>
      <w:tabs>
        <w:tab w:val="center" w:pos="4153" w:leader="none"/>
        <w:tab w:val="right" w:pos="8306" w:leader="none"/>
      </w:tabs>
    </w:pPr>
  </w:style>
  <w:style w:type="paragraph" w:styleId="674">
    <w:name w:val="Текст выноски"/>
    <w:basedOn w:val="662"/>
    <w:next w:val="674"/>
    <w:link w:val="675"/>
    <w:uiPriority w:val="99"/>
    <w:rPr>
      <w:rFonts w:ascii="Segoe UI" w:hAnsi="Segoe UI" w:cs="Segoe UI"/>
      <w:sz w:val="18"/>
      <w:szCs w:val="18"/>
    </w:rPr>
  </w:style>
  <w:style w:type="character" w:styleId="675">
    <w:name w:val="Текст выноски Знак"/>
    <w:next w:val="675"/>
    <w:link w:val="674"/>
    <w:uiPriority w:val="99"/>
    <w:rPr>
      <w:rFonts w:ascii="Segoe UI" w:hAnsi="Segoe UI" w:cs="Segoe UI"/>
      <w:sz w:val="18"/>
      <w:szCs w:val="18"/>
    </w:rPr>
  </w:style>
  <w:style w:type="character" w:styleId="676">
    <w:name w:val="Верхний колонтитул Знак"/>
    <w:next w:val="676"/>
    <w:link w:val="673"/>
    <w:uiPriority w:val="99"/>
  </w:style>
  <w:style w:type="numbering" w:styleId="677">
    <w:name w:val="Нет списка1"/>
    <w:next w:val="667"/>
    <w:link w:val="662"/>
    <w:uiPriority w:val="99"/>
    <w:semiHidden/>
    <w:unhideWhenUsed/>
  </w:style>
  <w:style w:type="paragraph" w:styleId="678">
    <w:name w:val="Без интервала"/>
    <w:next w:val="678"/>
    <w:link w:val="66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679">
    <w:name w:val="Гиперссылка"/>
    <w:next w:val="679"/>
    <w:link w:val="662"/>
    <w:uiPriority w:val="99"/>
    <w:unhideWhenUsed/>
    <w:rPr>
      <w:color w:val="0000ff"/>
      <w:u w:val="single"/>
    </w:rPr>
  </w:style>
  <w:style w:type="character" w:styleId="680">
    <w:name w:val="Просмотренная гиперссылка"/>
    <w:next w:val="680"/>
    <w:link w:val="662"/>
    <w:uiPriority w:val="99"/>
    <w:unhideWhenUsed/>
    <w:rPr>
      <w:color w:val="800080"/>
      <w:u w:val="single"/>
    </w:rPr>
  </w:style>
  <w:style w:type="paragraph" w:styleId="681">
    <w:name w:val="xl65"/>
    <w:basedOn w:val="662"/>
    <w:next w:val="681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682">
    <w:name w:val="xl66"/>
    <w:basedOn w:val="662"/>
    <w:next w:val="682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683">
    <w:name w:val="xl67"/>
    <w:basedOn w:val="662"/>
    <w:next w:val="683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4"/>
      <w:szCs w:val="24"/>
    </w:rPr>
  </w:style>
  <w:style w:type="paragraph" w:styleId="684">
    <w:name w:val="xl68"/>
    <w:basedOn w:val="662"/>
    <w:next w:val="684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685">
    <w:name w:val="xl69"/>
    <w:basedOn w:val="662"/>
    <w:next w:val="685"/>
    <w:link w:val="662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686">
    <w:name w:val="xl70"/>
    <w:basedOn w:val="662"/>
    <w:next w:val="686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687">
    <w:name w:val="xl71"/>
    <w:basedOn w:val="662"/>
    <w:next w:val="687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688">
    <w:name w:val="xl72"/>
    <w:basedOn w:val="662"/>
    <w:next w:val="688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689">
    <w:name w:val="xl73"/>
    <w:basedOn w:val="662"/>
    <w:next w:val="689"/>
    <w:link w:val="662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690">
    <w:name w:val="xl74"/>
    <w:basedOn w:val="662"/>
    <w:next w:val="690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691">
    <w:name w:val="xl75"/>
    <w:basedOn w:val="662"/>
    <w:next w:val="691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styleId="692">
    <w:name w:val="xl76"/>
    <w:basedOn w:val="662"/>
    <w:next w:val="692"/>
    <w:link w:val="662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693">
    <w:name w:val="xl77"/>
    <w:basedOn w:val="662"/>
    <w:next w:val="693"/>
    <w:link w:val="662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694">
    <w:name w:val="xl78"/>
    <w:basedOn w:val="662"/>
    <w:next w:val="694"/>
    <w:link w:val="662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695">
    <w:name w:val="xl79"/>
    <w:basedOn w:val="662"/>
    <w:next w:val="695"/>
    <w:link w:val="662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696">
    <w:name w:val="Форма"/>
    <w:next w:val="696"/>
    <w:link w:val="662"/>
    <w:rPr>
      <w:sz w:val="28"/>
      <w:szCs w:val="28"/>
      <w:lang w:val="ru-RU" w:eastAsia="ru-RU" w:bidi="ar-SA"/>
    </w:rPr>
  </w:style>
  <w:style w:type="character" w:styleId="697">
    <w:name w:val="Основной текст Знак"/>
    <w:next w:val="697"/>
    <w:link w:val="669"/>
    <w:rPr>
      <w:rFonts w:ascii="Courier New" w:hAnsi="Courier New"/>
      <w:sz w:val="26"/>
    </w:rPr>
  </w:style>
  <w:style w:type="paragraph" w:styleId="698">
    <w:name w:val="ConsPlusNormal"/>
    <w:next w:val="698"/>
    <w:link w:val="662"/>
    <w:rPr>
      <w:sz w:val="28"/>
      <w:szCs w:val="28"/>
      <w:lang w:val="ru-RU" w:eastAsia="ru-RU" w:bidi="ar-SA"/>
    </w:rPr>
  </w:style>
  <w:style w:type="numbering" w:styleId="699">
    <w:name w:val="Нет списка11"/>
    <w:next w:val="667"/>
    <w:link w:val="662"/>
    <w:uiPriority w:val="99"/>
    <w:semiHidden/>
    <w:unhideWhenUsed/>
  </w:style>
  <w:style w:type="numbering" w:styleId="700">
    <w:name w:val="Нет списка111"/>
    <w:next w:val="667"/>
    <w:link w:val="662"/>
    <w:uiPriority w:val="99"/>
    <w:semiHidden/>
    <w:unhideWhenUsed/>
  </w:style>
  <w:style w:type="paragraph" w:styleId="701">
    <w:name w:val="font5"/>
    <w:basedOn w:val="662"/>
    <w:next w:val="701"/>
    <w:link w:val="66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702">
    <w:name w:val="xl80"/>
    <w:basedOn w:val="662"/>
    <w:next w:val="702"/>
    <w:link w:val="662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703">
    <w:name w:val="xl81"/>
    <w:basedOn w:val="662"/>
    <w:next w:val="703"/>
    <w:link w:val="662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704">
    <w:name w:val="xl82"/>
    <w:basedOn w:val="662"/>
    <w:next w:val="704"/>
    <w:link w:val="662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705">
    <w:name w:val="Сетка таблицы"/>
    <w:basedOn w:val="666"/>
    <w:next w:val="705"/>
    <w:link w:val="66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706">
    <w:name w:val="xl83"/>
    <w:basedOn w:val="662"/>
    <w:next w:val="706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707">
    <w:name w:val="xl84"/>
    <w:basedOn w:val="662"/>
    <w:next w:val="707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708">
    <w:name w:val="xl85"/>
    <w:basedOn w:val="662"/>
    <w:next w:val="708"/>
    <w:link w:val="662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709">
    <w:name w:val="xl86"/>
    <w:basedOn w:val="662"/>
    <w:next w:val="709"/>
    <w:link w:val="662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710">
    <w:name w:val="xl87"/>
    <w:basedOn w:val="662"/>
    <w:next w:val="710"/>
    <w:link w:val="662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711">
    <w:name w:val="xl88"/>
    <w:basedOn w:val="662"/>
    <w:next w:val="711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712">
    <w:name w:val="xl89"/>
    <w:basedOn w:val="662"/>
    <w:next w:val="712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713">
    <w:name w:val="xl90"/>
    <w:basedOn w:val="662"/>
    <w:next w:val="713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714">
    <w:name w:val="xl91"/>
    <w:basedOn w:val="662"/>
    <w:next w:val="714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715">
    <w:name w:val="xl92"/>
    <w:basedOn w:val="662"/>
    <w:next w:val="715"/>
    <w:link w:val="662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716">
    <w:name w:val="xl93"/>
    <w:basedOn w:val="662"/>
    <w:next w:val="716"/>
    <w:link w:val="662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717">
    <w:name w:val="xl94"/>
    <w:basedOn w:val="662"/>
    <w:next w:val="717"/>
    <w:link w:val="662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718">
    <w:name w:val="xl95"/>
    <w:basedOn w:val="662"/>
    <w:next w:val="718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719">
    <w:name w:val="xl96"/>
    <w:basedOn w:val="662"/>
    <w:next w:val="719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720">
    <w:name w:val="xl97"/>
    <w:basedOn w:val="662"/>
    <w:next w:val="720"/>
    <w:link w:val="662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721">
    <w:name w:val="xl98"/>
    <w:basedOn w:val="662"/>
    <w:next w:val="721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styleId="722">
    <w:name w:val="xl99"/>
    <w:basedOn w:val="662"/>
    <w:next w:val="722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styleId="723">
    <w:name w:val="xl100"/>
    <w:basedOn w:val="662"/>
    <w:next w:val="723"/>
    <w:link w:val="662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724">
    <w:name w:val="xl101"/>
    <w:basedOn w:val="662"/>
    <w:next w:val="724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725">
    <w:name w:val="xl102"/>
    <w:basedOn w:val="662"/>
    <w:next w:val="725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726">
    <w:name w:val="xl103"/>
    <w:basedOn w:val="662"/>
    <w:next w:val="726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727">
    <w:name w:val="xl104"/>
    <w:basedOn w:val="662"/>
    <w:next w:val="727"/>
    <w:link w:val="662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728">
    <w:name w:val="xl105"/>
    <w:basedOn w:val="662"/>
    <w:next w:val="728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729">
    <w:name w:val="xl106"/>
    <w:basedOn w:val="662"/>
    <w:next w:val="729"/>
    <w:link w:val="662"/>
    <w:pPr>
      <w:pBdr>
        <w:top w:val="single" w:color="000000" w:sz="4" w:space="0"/>
        <w:left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730">
    <w:name w:val="xl107"/>
    <w:basedOn w:val="662"/>
    <w:next w:val="730"/>
    <w:link w:val="662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731">
    <w:name w:val="xl108"/>
    <w:basedOn w:val="662"/>
    <w:next w:val="731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732">
    <w:name w:val="xl109"/>
    <w:basedOn w:val="662"/>
    <w:next w:val="732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733">
    <w:name w:val="xl110"/>
    <w:basedOn w:val="662"/>
    <w:next w:val="733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734">
    <w:name w:val="xl111"/>
    <w:basedOn w:val="662"/>
    <w:next w:val="734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735">
    <w:name w:val="xl112"/>
    <w:basedOn w:val="662"/>
    <w:next w:val="735"/>
    <w:link w:val="66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styleId="736">
    <w:name w:val="xl113"/>
    <w:basedOn w:val="662"/>
    <w:next w:val="736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737">
    <w:name w:val="xl114"/>
    <w:basedOn w:val="662"/>
    <w:next w:val="737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738">
    <w:name w:val="xl115"/>
    <w:basedOn w:val="662"/>
    <w:next w:val="738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styleId="739">
    <w:name w:val="xl116"/>
    <w:basedOn w:val="662"/>
    <w:next w:val="739"/>
    <w:link w:val="66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740">
    <w:name w:val="xl117"/>
    <w:basedOn w:val="662"/>
    <w:next w:val="740"/>
    <w:link w:val="662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741">
    <w:name w:val="xl118"/>
    <w:basedOn w:val="662"/>
    <w:next w:val="741"/>
    <w:link w:val="662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4"/>
      <w:szCs w:val="24"/>
    </w:rPr>
  </w:style>
  <w:style w:type="paragraph" w:styleId="742">
    <w:name w:val="xl119"/>
    <w:basedOn w:val="662"/>
    <w:next w:val="742"/>
    <w:link w:val="662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743">
    <w:name w:val="xl120"/>
    <w:basedOn w:val="662"/>
    <w:next w:val="743"/>
    <w:link w:val="662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744">
    <w:name w:val="xl121"/>
    <w:basedOn w:val="662"/>
    <w:next w:val="744"/>
    <w:link w:val="662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745">
    <w:name w:val="xl122"/>
    <w:basedOn w:val="662"/>
    <w:next w:val="745"/>
    <w:link w:val="662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746">
    <w:name w:val="xl123"/>
    <w:basedOn w:val="662"/>
    <w:next w:val="746"/>
    <w:link w:val="662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747">
    <w:name w:val="xl124"/>
    <w:basedOn w:val="662"/>
    <w:next w:val="747"/>
    <w:link w:val="662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748">
    <w:name w:val="xl125"/>
    <w:basedOn w:val="662"/>
    <w:next w:val="748"/>
    <w:link w:val="662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styleId="749">
    <w:name w:val="Нет списка2"/>
    <w:next w:val="667"/>
    <w:link w:val="662"/>
    <w:uiPriority w:val="99"/>
    <w:semiHidden/>
    <w:unhideWhenUsed/>
  </w:style>
  <w:style w:type="numbering" w:styleId="750">
    <w:name w:val="Нет списка3"/>
    <w:next w:val="667"/>
    <w:link w:val="662"/>
    <w:uiPriority w:val="99"/>
    <w:semiHidden/>
    <w:unhideWhenUsed/>
  </w:style>
  <w:style w:type="paragraph" w:styleId="751">
    <w:name w:val="font6"/>
    <w:basedOn w:val="662"/>
    <w:next w:val="751"/>
    <w:link w:val="66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52">
    <w:name w:val="font7"/>
    <w:basedOn w:val="662"/>
    <w:next w:val="752"/>
    <w:link w:val="66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53">
    <w:name w:val="font8"/>
    <w:basedOn w:val="662"/>
    <w:next w:val="753"/>
    <w:link w:val="66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754">
    <w:name w:val="Нет списка4"/>
    <w:next w:val="667"/>
    <w:link w:val="662"/>
    <w:uiPriority w:val="99"/>
    <w:semiHidden/>
    <w:unhideWhenUsed/>
  </w:style>
  <w:style w:type="paragraph" w:styleId="755">
    <w:name w:val="Абзац списка"/>
    <w:basedOn w:val="662"/>
    <w:next w:val="755"/>
    <w:link w:val="662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756">
    <w:name w:val="Нижний колонтитул Знак"/>
    <w:next w:val="756"/>
    <w:link w:val="671"/>
    <w:uiPriority w:val="99"/>
  </w:style>
  <w:style w:type="character" w:styleId="896" w:default="1">
    <w:name w:val="Default Paragraph Font"/>
    <w:uiPriority w:val="1"/>
    <w:semiHidden/>
    <w:unhideWhenUsed/>
  </w:style>
  <w:style w:type="numbering" w:styleId="897" w:default="1">
    <w:name w:val="No List"/>
    <w:uiPriority w:val="99"/>
    <w:semiHidden/>
    <w:unhideWhenUsed/>
  </w:style>
  <w:style w:type="table" w:styleId="8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30</cp:revision>
  <dcterms:created xsi:type="dcterms:W3CDTF">2016-08-25T12:19:00Z</dcterms:created>
  <dcterms:modified xsi:type="dcterms:W3CDTF">2024-10-02T10:58:46Z</dcterms:modified>
  <cp:version>983040</cp:version>
</cp:coreProperties>
</file>