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441450"/>
                <wp:effectExtent l="0" t="0" r="0" b="0"/>
                <wp:wrapNone/>
                <wp:docPr id="1" name="_x0000_s2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441449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206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13.5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206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spacing w:line="283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 внесении изменений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86"/>
        <w:jc w:val="both"/>
        <w:spacing w:line="283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 постановление администрации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86"/>
        <w:jc w:val="both"/>
        <w:spacing w:line="283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города Перми от 13.01.2014 №</w:t>
      </w:r>
      <w:r>
        <w:rPr>
          <w:b/>
          <w:bCs/>
          <w:sz w:val="28"/>
          <w:szCs w:val="28"/>
          <w:highlight w:val="white"/>
        </w:rPr>
        <w:t xml:space="preserve"> 4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3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Об утверждении Порядка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3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предоставления субсидий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3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за счет средств бюджета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3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города Перми общественным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3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организациям ветеранов (пенсионеров)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3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войны, труда, Вооруженных Сил 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3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правоохранительных органов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3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на финансовое обеспечение затрат,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3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связанных с осуществлением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3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ус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тавной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 деятельности</w:t>
      </w:r>
      <w:r>
        <w:rPr>
          <w:b/>
          <w:bCs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pStyle w:val="88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В соответствии c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», в целях приведения в соответствие с действующим законодательством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1. Внести в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администрации города Перми от 13 января 2014 г. № 4 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Об утверждении Порядка предоставления субсидий за счет средств бюджета города Перми общественным организациям ветеранов (пенсионеров) войны, труда, Вооруженных Сил и правоохранительных органов на финансовое обеспечение затрат, связанных с осуществлением ус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тавной деятельности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» </w:t>
        <w:br/>
        <w:t xml:space="preserve">(в ред. от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28.02.2017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142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 от 07.12.2017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1103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 от 31.10.2018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852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 </w:t>
        <w:br/>
        <w:t xml:space="preserve">от 25.02.2019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121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от 19.07.2019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407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 от 13.04.2020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345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 от 22.12.2020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br/>
        <w:t xml:space="preserve">№ 1292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от 13.05.2021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341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 от 24.03.2022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216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 от 30.12.2022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1429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</w:t>
        <w:br/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от 24.04.2023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33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0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), следующие изменения: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.1 наименование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«Об утверждении Порядка предоставления субсидий за счет средств бюджета города Перми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Пермской городской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на финансовое обеспечение затрат, связанных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с осуществлением уставной деятельности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»;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1.2.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преамбулу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«В соответствии с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пунктом 2 статьи 78.1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Бюджетного кодекса Российской Федерации,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Федеральным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администрация города Перми постановляет:»;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1.3. пункт 1 изложить в следующей редакции: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«1. Утвердить прилагаемый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Порядок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предоставления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субсидии за счет средств бюджета города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Перми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Пермской городской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на финансовое обеспечение затрат, связанных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с осуществлением уставной деятельности»;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1.4. пункт 2 изложить в следующей редакции: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«2.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Главному распорядителю бюджетных средств города Перми обеспечить: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заключение договора с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Пермской городской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контроль за целевым использованием предоставленной субсидии.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».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2. Внести в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Порядок предоставления субсидий за счет средств бюджета города Перми общественным организациям ветеранов (пенсионеров) войны, труда, Вооруженных Сил и правоохранительных органов на финансовое обеспечение затрат, связанных с осуществлением уставной деятельн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ости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 утвержденный постановлением администрации горо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да Перми от 13 января 2014 г. № 4 (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в ред. от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28.02.2017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142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 от 07.12.2017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1103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 от 31.10.2018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852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 </w:t>
        <w:br/>
        <w:t xml:space="preserve">от 25.02.2019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121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от 19.07.2019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407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 от 13.04.2020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345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 от 22.12.2020 </w:t>
        <w:br/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1292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от 13.05.2021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341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 от 24.03.2022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216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 от 30.12.2022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1429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 </w:t>
        <w:br/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от 24.04.2023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№ 33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0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), следующие изменения: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2.1 наименование изложить в следующей редакции: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«Порядок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предоставления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субсидии за счет средств бюджета города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Перми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Пермской городской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на финансовое обеспечение затрат, связанных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с осуществлением уставной деятельности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»;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2.2. Раздел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I «Общие положения о предоставлении субсидий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» изложить в следующей редакции: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center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« I. Общие положения о предоставлении субсидий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center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1.1. Порядок предоставления субсидии за счет средств бюджета города Перми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Пермской городской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на финансовое обеспечение затрат, связанных с осуществлением уставной дея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тельности (далее - Порядок, субсидия), определяет цели, условия, порядок предоставления субсидии за счет средств бюджета города Перми, требования к отчетности, требования об осуществлении контроля (мониторинга) за соблюдением условий и порядка предоставлен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ия субсидий и ответственности за их нарушение.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1.2. Субсидия предоставляется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Пермской городской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(далее - общественная организация, Получатель субсидии).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1.3. Субсидия, предоставляемая за счет средств бюджета города Перми, общественной организации носит целевой характер и не может быть использована на другие цели.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1.4. Субсидия предоставляется общественной организации в рамках реализации муниципальной программы «Общественное согласие» в целях финансового обеспечения затрат, связанных с осуществлением уставной деятельности, направленной на организацию общественного 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онтроля за выполнением законодательства в сфере защиты прав, свобод и интересов ветеранов (пенсионеров) войны, труда, Вооруженных Сил и правоохранительных органов, организацию и проведение мероприятий для ветеранов (пенсионеров) войны, труда, Вооруженных С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ил и правоохранительных органов города Перми, организацию и проведение мероприятий, направленных на патриотическое воспитание молодежи, повышение гражданской активности.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1.5.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Способом предоставления субсидии является финансовое обеспечение затрат,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связанных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с осуществлением уставной деятельности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1.6. В рамках настоящего Порядка администрация города Перми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является главными распорядителем бюджетных средств города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Перми (далее - главный распорядитель бюджетных средств).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1.7.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Интернет (в разделе единого портала) в порядке, установленном Министерством финансов Российской Федерации.»;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2.3. пункт 2.1.1 дополнить словами «в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2.4.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пункт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2.1.3.1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«2.1.3.1. у Получателя субсидии на едином налоговом счете должна отсутствовать задолженность по уплате налогов, сборов и страховых взносов в бюджеты бюджетной системы Российской Федерации;»;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2.5. в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пункте 2.1.3.6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слово «утверждаемый» заменить словом «утвержденный»;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2.6. после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пункта 2.1.2.6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дополнить пунктами 2.1.2.7-2.1.2.9 следующего содержания: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«2.1.2.7.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2.1.2.8. Получатель субсидии не должен находиться в составляемых в рамках реализации полномочий, предусмотренных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главой VII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ия;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2.1.2.9. Получатель субсидии не должен являться иностранным агентом в соответствии с Федеральным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от 14 июля 2022 г. № 255-ФЗ «О контроле за деятельностью лиц, находящихся под иностранным влиянием»;»;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2.7. в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пункте 2.1.4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слова «и органами муниципального финансового контроля соблюдения Получателем субсидии порядка и условий предоставления субсидии» заменить словами «а также проверки органами муниципального финансового контроля»;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2.8. в пункте 2.3.7 слова 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полученной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сформированной с использованием Интернет-сервиса, размещенного на сайте регистриру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ющего органа» исключить;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2.9. в пункте 2.5.2 число «30» заменить на «15»;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2.10.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пункте 2.5.2.1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2.10.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абзац второй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В течение 15 рабочих дней после дня принятия указанного решения главный распорядитель бюджетных средств заключает Договор с Получателем субсидии в системе «Электронный бюджет»;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2.10.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2. абзацы третий, четвертый признать утратившими силу;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2.10.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абзац седьмой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«При реорганизации Получателя субсидии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яющегося правопреемником.»;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2.10.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4.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после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абзаца седьмого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дополнить абзацем следующего содержания: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«При реорганизации Получателя субсидии в форме разделения, выделения, а также при ликвидации Получателя субсидии Договор расторгается с формированием уведомления о расторжении Договора в одностороннем порядке и акта об исполнении обязательств по Договору с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Перми.»;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2.11. В пункте 2.6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общественных организаций ветеранов (пенсионеров) войны, труда, Вооруженных Сил и правоохранительных органов города Перми» заменить словами 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Пермской городской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2.12.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 пункт 2.9 изложить в следующей редакции: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«2.9.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Результатами предоставления субсидии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являются количество проведенных мероприятий, а также количество участников мероприятий. Точная дата завершения и конечное значение результата предоставления субсидии, характеристик устанавливается Договором.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»;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2.13. пункт 2.10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признать утратившим силу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2.14.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пункт 3.1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«3.1. Получатель субсидии представляет главному распорядителю бюджетных средств: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отчет о достижении значений результатов предоставления субсидии, характеристик, указанных в пункте 2.9 настоящего Порядка, ежеквартально (нарастающим итогом) по состоянию на 01 число месяца, следующего за отчетным периодом, не позднее 10 рабочих дней меся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ца, следующего за отчетным кварталом, за IV квартал не позднее 20 декабря текущего года, по форме, утвержденной распоряжением начальника департамента финансов администрации города Перми;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отчет об осуществлении расходов, источником финансового обеспечения которых является субсидия, с приложением копий документов, подтверждающих осуществление расходов, ежеквартально (нарастающим итогом) по состоянию на 01 число месяца, следующего за отчетным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 периодом, не позднее 10 рабочих дней месяца, следующего за отчетным кварталом, за IV квартал не позднее 20 декабря текущего года, по форме, утвержденной распоряжением начальника департамента финансов администрации города Перми.»;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2.15.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пункт 3.2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 изложить в следующей редакции: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«3.2. Главный распорядитель бюджетных средств вправе устанавливать в Договоре сроки и формы представления Получателем субсидии дополнительной отчетности: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финансового отчета об использовании субсидии на реализацию мероприятий;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содержательного отчета о выполнении мероприятий;»;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  <w:u w:val="none"/>
        </w:rPr>
        <w:t xml:space="preserve">3.16. дополнить пунктом 3.3</w:t>
      </w:r>
      <w:r>
        <w:rPr>
          <w:color w:val="auto"/>
          <w:sz w:val="28"/>
          <w:szCs w:val="28"/>
          <w:highlight w:val="white"/>
          <w:u w:val="none"/>
          <w:vertAlign w:val="superscript"/>
        </w:rPr>
        <w:t xml:space="preserve">1 </w:t>
      </w:r>
      <w:r>
        <w:rPr>
          <w:color w:val="auto"/>
          <w:sz w:val="28"/>
          <w:szCs w:val="28"/>
          <w:highlight w:val="white"/>
          <w:u w:val="none"/>
          <w:vertAlign w:val="baseline"/>
        </w:rPr>
        <w:t xml:space="preserve">следующего содержания:</w:t>
      </w:r>
      <w:r>
        <w:rPr>
          <w:color w:val="auto"/>
          <w:sz w:val="28"/>
          <w:szCs w:val="28"/>
          <w:highlight w:val="white"/>
          <w:u w:val="none"/>
          <w:vertAlign w:val="baseline"/>
        </w:rPr>
      </w:r>
      <w:r>
        <w:rPr>
          <w:color w:val="auto"/>
          <w:sz w:val="28"/>
          <w:szCs w:val="28"/>
          <w:highlight w:val="white"/>
          <w:u w:val="none"/>
          <w:vertAlign w:val="baseli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  <w:u w:val="none"/>
          <w:vertAlign w:val="baseline"/>
        </w:rPr>
        <w:t xml:space="preserve">«3.3</w:t>
      </w:r>
      <w:r>
        <w:rPr>
          <w:color w:val="auto"/>
          <w:sz w:val="28"/>
          <w:szCs w:val="28"/>
          <w:highlight w:val="white"/>
          <w:u w:val="none"/>
          <w:vertAlign w:val="superscript"/>
        </w:rPr>
        <w:t xml:space="preserve">1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В случае если для достижения результ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атов предоставления субсидии Получатель субсидии предусматривает последующее предоставление средств иным лицам, в таком договоре предусматриваются условия о предоставлении отчетов, предусмотренных пунктами 3.1, 3.2, настоящего Порядка Получателю субсидии.»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2.17.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пункте 3.5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 слово «отчетов» заменить словами «отчетов, предусмотренных пунктами 3.1, 3.2 настоящего Порядка,»;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2.18.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абзац второй пункта 4.1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 изложить в следующей редакции: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«4.1. Орган муниципального финансового контроля проводит проверки в соответствии со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статьями 268.1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269.2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 Бюджетного кодекса Российской Федерации.»;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2.19.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пункт 4.1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 изложить в следующей редакции: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«4.1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. Главный распорядитель бюджетных средств осуществляет мониторинг достижения значений результатов предоставления субсидии, определенных Договором, и событий, отражающих факт завершения соответствующего мероприятия по получению результата предоставления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 субсидии в порядке и по формам, которые установлены порядком проведения мониторинга достижения результатов предоставления субсидий,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в том числе грантов в форме субсидий,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юридическим лицам, индивидуальным предпринимателям, физическим лицам - производителям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 товаров, работ, услуг, утвержденным приказом Министерства финансов Российской Федерации.»;»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2.20.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пункт 4.2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 изложить в следующей редакции: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«4.2. Средства субсидии, предоставляемые Получателю субсидии, подлежат возврату в бюджет города Перми в случаях: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контроля;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недостижения значений результатов предоставления субсидии, установленных Договором.»;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2.21. после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пункта 4.2.2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 дополнить пунктом 4.3 следующего содержания: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«4.3. Порядок и сроки возврата субсидии и средств, полученных на основании Договоров, заключенных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Получателем субсидии, в бюджет города Перми в случае нарушения условий ее предоставления: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4.3.1. в случае выявления нарушений, указанных в пункте 4.2 настоящего Порядка, главный распорядитель бюджетных средств в течение 15 рабочих дней со дня выявления нарушения направляет требование о возврате субсидии, которое должно быть исполнено Получателе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м субсидии в течение 10 рабочих дней с даты получения требования;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4.3.2. в случае невыполнения Получателем субсидии в установленный срок требования о возврате субсидии главный распорядитель бюджетных средств осуществляет возврат субсидии в судебном порядке в соответствии с действующим законодательством Российской Федерац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ии.»;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  <w:u w:val="none"/>
        </w:rPr>
        <w:t xml:space="preserve">2.22.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приложение 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 к типовой форме заявки на предоставление субсидии изложить в редакции согласно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приложению 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 к настоящему постановлению.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. Наст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оящее постановление вступает в силу с 01 января 2025 г, 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ния город Пермь».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о образования город Пермь».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2" w:tooltip="&lt;div class=&quot;doc www&quot;&gt;&lt;span class=&quot;aligner&quot;&gt;&lt;div class=&quot;icon listDocWWW-16&quot;&gt;&lt;/div&gt;&lt;/span&gt;www.gorodperm.ru&lt;/div&gt;" w:history="1">
        <w:r>
          <w:rPr>
            <w:rStyle w:val="868"/>
            <w:rFonts w:ascii="Times New Roman" w:hAnsi="Times New Roman" w:eastAsia="Times New Roman" w:cs="Times New Roman"/>
            <w:color w:val="auto"/>
            <w:sz w:val="28"/>
            <w:szCs w:val="28"/>
            <w:highlight w:val="white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color w:val="auto"/>
          <w:sz w:val="28"/>
          <w:szCs w:val="28"/>
          <w:highlight w:val="white"/>
          <w:u w:val="none"/>
        </w:rPr>
      </w:r>
      <w:r>
        <w:rPr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6. Контроль за исполнением настоящего постановления возложить на заместителя главы администрации города Перми Трошкова С.В.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886"/>
        <w:jc w:val="both"/>
        <w:spacing w:before="0" w:before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trike w:val="0"/>
          <w:sz w:val="28"/>
          <w:szCs w:val="28"/>
          <w:highlight w:val="white"/>
        </w:rPr>
        <w:t xml:space="preserve">Глав</w:t>
      </w:r>
      <w:r>
        <w:rPr>
          <w:strike w:val="0"/>
          <w:sz w:val="28"/>
          <w:szCs w:val="28"/>
          <w:highlight w:val="white"/>
        </w:rPr>
        <w:t xml:space="preserve">а</w:t>
      </w:r>
      <w:r>
        <w:rPr>
          <w:strike w:val="0"/>
          <w:sz w:val="28"/>
          <w:szCs w:val="28"/>
          <w:highlight w:val="white"/>
        </w:rPr>
        <w:t xml:space="preserve"> города Перми</w:t>
        <w:tab/>
      </w:r>
      <w:r>
        <w:rPr>
          <w:strike w:val="0"/>
          <w:sz w:val="28"/>
          <w:szCs w:val="28"/>
          <w:highlight w:val="white"/>
        </w:rPr>
        <w:tab/>
        <w:tab/>
        <w:tab/>
        <w:tab/>
        <w:tab/>
        <w:tab/>
        <w:tab/>
      </w:r>
      <w:r>
        <w:rPr>
          <w:strike w:val="0"/>
          <w:sz w:val="28"/>
          <w:szCs w:val="28"/>
          <w:highlight w:val="white"/>
        </w:rPr>
        <w:t xml:space="preserve">  </w:t>
      </w:r>
      <w:r>
        <w:rPr>
          <w:strike w:val="0"/>
          <w:sz w:val="28"/>
          <w:szCs w:val="28"/>
          <w:highlight w:val="white"/>
        </w:rPr>
        <w:t xml:space="preserve">    </w:t>
      </w:r>
      <w:r>
        <w:rPr>
          <w:strike w:val="0"/>
          <w:sz w:val="28"/>
          <w:szCs w:val="28"/>
          <w:highlight w:val="white"/>
        </w:rPr>
        <w:t xml:space="preserve"> </w:t>
      </w:r>
      <w:r>
        <w:rPr>
          <w:strike w:val="0"/>
          <w:sz w:val="28"/>
          <w:szCs w:val="28"/>
          <w:highlight w:val="white"/>
        </w:rPr>
        <w:t xml:space="preserve">Э.О. Соснин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before="0" w:beforeAutospacing="0" w:line="240" w:lineRule="auto"/>
        <w:shd w:val="nil" w:color="auto"/>
        <w:rPr>
          <w:strike w:val="0"/>
          <w:sz w:val="28"/>
          <w:szCs w:val="28"/>
          <w:highlight w:val="white"/>
        </w:rPr>
      </w:pPr>
      <w:r>
        <w:rPr>
          <w:strike w:val="0"/>
          <w:sz w:val="28"/>
          <w:szCs w:val="28"/>
          <w:highlight w:val="none"/>
        </w:rPr>
        <w:br w:type="page" w:clear="all"/>
      </w:r>
      <w:r>
        <w:rPr>
          <w:strike w:val="0"/>
          <w:sz w:val="28"/>
          <w:szCs w:val="28"/>
          <w:highlight w:val="white"/>
        </w:rPr>
      </w:r>
      <w:r>
        <w:rPr>
          <w:strike w:val="0"/>
          <w:sz w:val="28"/>
          <w:szCs w:val="28"/>
          <w:highlight w:val="white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постановлению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администрации города Перми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7920" w:right="0" w:firstLine="720"/>
        <w:jc w:val="lef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          N    </w:t>
      </w:r>
      <w:r/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spacing w:line="288" w:lineRule="atLeast"/>
        <w:rPr>
          <w:rFonts w:ascii="Times New Roman" w:hAnsi="Times New Roman" w:eastAsia="Times New Roman" w:cs="Times New Roman"/>
          <w:sz w:val="29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>
        <w:rPr>
          <w:rFonts w:ascii="Times New Roman" w:hAnsi="Times New Roman" w:eastAsia="Times New Roman" w:cs="Times New Roman"/>
          <w:sz w:val="29"/>
        </w:rPr>
      </w:r>
      <w:r>
        <w:rPr>
          <w:rFonts w:ascii="Times New Roman" w:hAnsi="Times New Roman" w:eastAsia="Times New Roman" w:cs="Times New Roman"/>
          <w:sz w:val="29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tbl>
      <w:tblPr>
        <w:tblStyle w:val="74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90"/>
        <w:gridCol w:w="3510"/>
        <w:gridCol w:w="1815"/>
        <w:gridCol w:w="2161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ДЕКЛАРАЦИЯ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(заполняется на бланке организации)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6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Настоящим сообщаю, что общественная организация _________________________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(наименование общественной организации)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соответствует требованиям, предъявленным на дату подачи Заявки с прилагаемыми к ней документами для предоставления субсидии: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(наименование общественной организации)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имеет на едином налоговом счете задолженности по уплате налогов, сборов и страховых взносов в бюджеты бюджетной системы Российской Федерации;</w:t>
              <w:br/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(наименование общественной организации)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общественной организации не введена процедура банкротства,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деятельность общественной организации не приостановлена в порядке, предусмотренном законодательством Российской Федерации;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(наименование общественной организации)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зарегистрирована в качестве юридического лица и осуществляет свою деятельность на территории города Перми;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(наименование общественной организации)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получает средства из бюджета города Перми в соответствии с иными нормативными правовыми актами, муниципальными правовыми актами на цели, указанные в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пункте 1.4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Порядка предоставления субсидий за счет средств бюджета города Перми общественным организациям ветеранов (пенсионеров) войны, труда, Вооруженных Сил и правоохранительных органов на финансовое обеспечение затрат, связанных с осуществлением уставной деятель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ности, утвержденного Постановлением администрации города Перми от 13 января 2014 г. № 4,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________________________________________________________________________.</w:t>
            </w:r>
            <w:r>
              <w:rPr>
                <w:rFonts w:ascii="Times New Roman" w:hAnsi="Times New Roman" w:eastAsia="Times New Roman" w:cs="Times New Roman"/>
                <w:color w:val="auto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(наименование общественной организации)</w:t>
            </w:r>
            <w:r>
              <w:rPr>
                <w:rFonts w:ascii="Times New Roman" w:hAnsi="Times New Roman" w:eastAsia="Times New Roman" w:cs="Times New Roman"/>
                <w:color w:val="auto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9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е в капитале указанных публичных акционерных обществ; </w:t>
            </w:r>
            <w:r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_________________________________________________________________________.</w:t>
            </w:r>
            <w:r>
              <w:rPr>
                <w:rFonts w:ascii="Times New Roman" w:hAnsi="Times New Roman" w:eastAsia="Times New Roman" w:cs="Times New Roman"/>
                <w:color w:val="auto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(наименование общественной организации)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  <w:br/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(наименование общественной организации)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находится в составляемых в рамках реализации полномочий, предусмотренных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главой VII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ия;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(наименование общественной организации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 является иностранным агентом в соответствии с Федеральным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от 14 июля 2022 г. № 255-ФЗ «О контроле за деятельностью лиц, находящихся под иностранным влиянием»;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_________________________________________________________________________.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(указать цель предоставления субсидии)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Руководитель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___________________________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(наименование общественной организации)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_____________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/______________/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(расшифровка)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276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Lucida Sans Unicode">
    <w:panose1 w:val="020B06030308040202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7"/>
    </w:pPr>
    <w:r/>
    <w:r/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lang w:val="ru-RU" w:eastAsia="ru-RU" w:bidi="ar-SA"/>
    </w:rPr>
  </w:style>
  <w:style w:type="paragraph" w:styleId="887">
    <w:name w:val="Заголовок 1"/>
    <w:basedOn w:val="886"/>
    <w:next w:val="886"/>
    <w:link w:val="909"/>
    <w:qFormat/>
    <w:pPr>
      <w:ind w:right="-1" w:firstLine="709"/>
      <w:jc w:val="both"/>
      <w:keepNext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ind w:right="-1"/>
      <w:jc w:val="both"/>
      <w:keepNext/>
      <w:outlineLvl w:val="1"/>
    </w:pPr>
    <w:rPr>
      <w:sz w:val="24"/>
    </w:rPr>
  </w:style>
  <w:style w:type="character" w:styleId="889">
    <w:name w:val="Основной шрифт абзаца"/>
    <w:next w:val="889"/>
    <w:link w:val="886"/>
    <w:semiHidden/>
  </w:style>
  <w:style w:type="table" w:styleId="890">
    <w:name w:val="Обычная таблица"/>
    <w:next w:val="890"/>
    <w:link w:val="886"/>
    <w:semiHidden/>
    <w:tblPr/>
  </w:style>
  <w:style w:type="numbering" w:styleId="891">
    <w:name w:val="Нет списка"/>
    <w:next w:val="891"/>
    <w:link w:val="886"/>
    <w:semiHidden/>
  </w:style>
  <w:style w:type="paragraph" w:styleId="892">
    <w:name w:val="Название объекта"/>
    <w:basedOn w:val="886"/>
    <w:next w:val="886"/>
    <w:link w:val="88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Основной текст"/>
    <w:basedOn w:val="886"/>
    <w:next w:val="893"/>
    <w:link w:val="902"/>
    <w:pPr>
      <w:ind w:right="3117"/>
    </w:pPr>
    <w:rPr>
      <w:rFonts w:ascii="Courier New" w:hAnsi="Courier New"/>
      <w:sz w:val="26"/>
    </w:rPr>
  </w:style>
  <w:style w:type="paragraph" w:styleId="894">
    <w:name w:val="Основной текст с отступом"/>
    <w:basedOn w:val="886"/>
    <w:next w:val="894"/>
    <w:link w:val="886"/>
    <w:pPr>
      <w:ind w:right="-1"/>
      <w:jc w:val="both"/>
    </w:pPr>
    <w:rPr>
      <w:sz w:val="26"/>
    </w:rPr>
  </w:style>
  <w:style w:type="paragraph" w:styleId="895">
    <w:name w:val="Нижний колонтитул"/>
    <w:basedOn w:val="886"/>
    <w:next w:val="895"/>
    <w:link w:val="886"/>
    <w:pPr>
      <w:tabs>
        <w:tab w:val="center" w:pos="4153" w:leader="none"/>
        <w:tab w:val="right" w:pos="8306" w:leader="none"/>
      </w:tabs>
    </w:pPr>
  </w:style>
  <w:style w:type="character" w:styleId="896">
    <w:name w:val="Номер страницы"/>
    <w:basedOn w:val="889"/>
    <w:next w:val="896"/>
    <w:link w:val="886"/>
  </w:style>
  <w:style w:type="paragraph" w:styleId="897">
    <w:name w:val="Верхний колонтитул"/>
    <w:basedOn w:val="886"/>
    <w:next w:val="897"/>
    <w:link w:val="900"/>
    <w:pPr>
      <w:tabs>
        <w:tab w:val="center" w:pos="4153" w:leader="none"/>
        <w:tab w:val="right" w:pos="8306" w:leader="none"/>
      </w:tabs>
    </w:pPr>
  </w:style>
  <w:style w:type="paragraph" w:styleId="898">
    <w:name w:val="Текст выноски"/>
    <w:basedOn w:val="886"/>
    <w:next w:val="898"/>
    <w:link w:val="899"/>
    <w:rPr>
      <w:rFonts w:ascii="Segoe UI" w:hAnsi="Segoe UI" w:cs="Segoe UI"/>
      <w:sz w:val="18"/>
      <w:szCs w:val="18"/>
    </w:rPr>
  </w:style>
  <w:style w:type="character" w:styleId="899">
    <w:name w:val="Текст выноски Знак"/>
    <w:next w:val="899"/>
    <w:link w:val="898"/>
    <w:rPr>
      <w:rFonts w:ascii="Segoe UI" w:hAnsi="Segoe UI" w:cs="Segoe UI"/>
      <w:sz w:val="18"/>
      <w:szCs w:val="18"/>
    </w:rPr>
  </w:style>
  <w:style w:type="character" w:styleId="900">
    <w:name w:val="Верхний колонтитул Знак"/>
    <w:next w:val="900"/>
    <w:link w:val="897"/>
  </w:style>
  <w:style w:type="paragraph" w:styleId="901">
    <w:name w:val="Форма"/>
    <w:next w:val="901"/>
    <w:link w:val="886"/>
    <w:rPr>
      <w:sz w:val="28"/>
      <w:szCs w:val="28"/>
      <w:lang w:val="ru-RU" w:eastAsia="ru-RU" w:bidi="ar-SA"/>
    </w:rPr>
  </w:style>
  <w:style w:type="character" w:styleId="902">
    <w:name w:val="Основной текст Знак"/>
    <w:next w:val="902"/>
    <w:link w:val="893"/>
    <w:rPr>
      <w:rFonts w:ascii="Courier New" w:hAnsi="Courier New"/>
      <w:sz w:val="26"/>
    </w:rPr>
  </w:style>
  <w:style w:type="paragraph" w:styleId="903">
    <w:name w:val="ConsPlusNormal"/>
    <w:next w:val="903"/>
    <w:link w:val="886"/>
    <w:pPr>
      <w:widowControl w:val="off"/>
    </w:pPr>
    <w:rPr>
      <w:sz w:val="28"/>
      <w:lang w:val="ru-RU" w:eastAsia="ru-RU" w:bidi="ar-SA"/>
    </w:rPr>
  </w:style>
  <w:style w:type="paragraph" w:styleId="904">
    <w:name w:val="ConsPlusNonformat"/>
    <w:next w:val="904"/>
    <w:link w:val="886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905">
    <w:name w:val="Сетка таблицы"/>
    <w:basedOn w:val="890"/>
    <w:next w:val="905"/>
    <w:link w:val="886"/>
    <w:tblPr/>
  </w:style>
  <w:style w:type="paragraph" w:styleId="906">
    <w:name w:val="Основной текст 2"/>
    <w:basedOn w:val="886"/>
    <w:next w:val="906"/>
    <w:link w:val="907"/>
    <w:pPr>
      <w:spacing w:after="120" w:line="480" w:lineRule="auto"/>
    </w:pPr>
  </w:style>
  <w:style w:type="character" w:styleId="907">
    <w:name w:val="Основной текст 2 Знак"/>
    <w:basedOn w:val="889"/>
    <w:next w:val="907"/>
    <w:link w:val="906"/>
  </w:style>
  <w:style w:type="paragraph" w:styleId="908">
    <w:name w:val="Без интервала"/>
    <w:next w:val="908"/>
    <w:link w:val="886"/>
    <w:uiPriority w:val="1"/>
    <w:qFormat/>
    <w:pPr>
      <w:widowControl w:val="off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909">
    <w:name w:val="Заголовок 1 Знак"/>
    <w:next w:val="909"/>
    <w:link w:val="887"/>
    <w:rPr>
      <w:sz w:val="24"/>
    </w:rPr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emf"/><Relationship Id="rId12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23</cp:revision>
  <dcterms:created xsi:type="dcterms:W3CDTF">2024-09-03T06:21:00Z</dcterms:created>
  <dcterms:modified xsi:type="dcterms:W3CDTF">2024-10-04T10:21:53Z</dcterms:modified>
  <cp:version>983040</cp:version>
</cp:coreProperties>
</file>