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555" w:rsidRDefault="009E6C6B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-548640</wp:posOffset>
                </wp:positionV>
                <wp:extent cx="6285865" cy="1661795"/>
                <wp:effectExtent l="0" t="0" r="635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92555" w:rsidRDefault="00C04750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92555" w:rsidRDefault="00C04750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92555" w:rsidRDefault="00C047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92555" w:rsidRDefault="0019255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192555" w:rsidRDefault="00192555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92555" w:rsidRDefault="0019255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192555" w:rsidRDefault="00192555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35pt;margin-top:-43.2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192555" w:rsidRDefault="00C04750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92555" w:rsidRDefault="00C04750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92555" w:rsidRDefault="00C0475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92555" w:rsidRDefault="0019255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192555" w:rsidRDefault="00192555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6" o:spid="_x0000_s1028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92555" w:rsidRDefault="0019255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192555" w:rsidRDefault="00192555"/>
                    </w:txbxContent>
                  </v:textbox>
                </v:shape>
              </v:group>
            </w:pict>
          </mc:Fallback>
        </mc:AlternateContent>
      </w:r>
      <w:r w:rsidR="00C04750"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2555" w:rsidRDefault="00192555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92555" w:rsidRDefault="00192555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92555" w:rsidRDefault="00192555">
      <w:pPr>
        <w:jc w:val="both"/>
        <w:rPr>
          <w:sz w:val="24"/>
          <w:lang w:val="en-US"/>
        </w:rPr>
      </w:pPr>
    </w:p>
    <w:p w:rsidR="00192555" w:rsidRDefault="00192555">
      <w:pPr>
        <w:jc w:val="both"/>
        <w:rPr>
          <w:sz w:val="24"/>
        </w:rPr>
      </w:pPr>
    </w:p>
    <w:p w:rsidR="00192555" w:rsidRDefault="00192555">
      <w:pPr>
        <w:jc w:val="both"/>
        <w:rPr>
          <w:sz w:val="24"/>
        </w:rPr>
      </w:pPr>
    </w:p>
    <w:p w:rsidR="00192555" w:rsidRPr="009E6C6B" w:rsidRDefault="00192555">
      <w:pPr>
        <w:jc w:val="both"/>
        <w:rPr>
          <w:b/>
          <w:sz w:val="24"/>
        </w:rPr>
      </w:pPr>
    </w:p>
    <w:p w:rsidR="009E6C6B" w:rsidRPr="009E6C6B" w:rsidRDefault="009E6C6B">
      <w:pPr>
        <w:jc w:val="both"/>
        <w:rPr>
          <w:sz w:val="28"/>
          <w:szCs w:val="28"/>
        </w:rPr>
      </w:pPr>
      <w:r w:rsidRPr="009E6C6B">
        <w:rPr>
          <w:sz w:val="28"/>
          <w:szCs w:val="28"/>
        </w:rPr>
        <w:t>17.10.2024            №</w:t>
      </w:r>
      <w:r w:rsidR="00556DC6">
        <w:rPr>
          <w:sz w:val="28"/>
          <w:szCs w:val="28"/>
        </w:rPr>
        <w:t xml:space="preserve"> </w:t>
      </w:r>
      <w:bookmarkStart w:id="0" w:name="_GoBack"/>
      <w:bookmarkEnd w:id="0"/>
      <w:r w:rsidRPr="009E6C6B">
        <w:rPr>
          <w:sz w:val="28"/>
          <w:szCs w:val="28"/>
        </w:rPr>
        <w:t>907</w:t>
      </w:r>
    </w:p>
    <w:p w:rsidR="00192555" w:rsidRDefault="009E6C6B">
      <w:pPr>
        <w:jc w:val="both"/>
        <w:rPr>
          <w:sz w:val="24"/>
        </w:rPr>
      </w:pPr>
      <w:r>
        <w:rPr>
          <w:sz w:val="24"/>
        </w:rPr>
        <w:t xml:space="preserve">         </w:t>
      </w:r>
    </w:p>
    <w:p w:rsidR="00192555" w:rsidRDefault="00C04750">
      <w:pPr>
        <w:spacing w:line="240" w:lineRule="exact"/>
        <w:ind w:right="538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192555" w:rsidRDefault="00C04750">
      <w:pPr>
        <w:spacing w:line="240" w:lineRule="exact"/>
        <w:ind w:right="538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Порядок составления </w:t>
      </w:r>
      <w:r w:rsidR="00C67DE5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представления дополнительной информации об исполнении </w:t>
      </w:r>
      <w:r w:rsidR="005517A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бюджета города в Пермскую </w:t>
      </w:r>
      <w:r w:rsidR="005517A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городскую Думу и Контрольно-счетную палату города Перми, утвержденный постановлением </w:t>
      </w:r>
      <w:r w:rsidR="005517A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администрации города Перми </w:t>
      </w:r>
      <w:r w:rsidR="00C67DE5">
        <w:rPr>
          <w:b/>
          <w:sz w:val="28"/>
          <w:szCs w:val="28"/>
        </w:rPr>
        <w:br/>
      </w:r>
      <w:r>
        <w:rPr>
          <w:b/>
          <w:sz w:val="28"/>
          <w:szCs w:val="28"/>
        </w:rPr>
        <w:t>от 15.02.2008 № 69</w:t>
      </w:r>
    </w:p>
    <w:p w:rsidR="00192555" w:rsidRDefault="00192555">
      <w:pPr>
        <w:spacing w:line="240" w:lineRule="exact"/>
        <w:jc w:val="both"/>
        <w:rPr>
          <w:sz w:val="28"/>
          <w:szCs w:val="28"/>
        </w:rPr>
      </w:pPr>
    </w:p>
    <w:p w:rsidR="00192555" w:rsidRDefault="00192555">
      <w:pPr>
        <w:spacing w:line="240" w:lineRule="exact"/>
        <w:jc w:val="both"/>
        <w:rPr>
          <w:sz w:val="28"/>
          <w:szCs w:val="28"/>
        </w:rPr>
      </w:pPr>
    </w:p>
    <w:p w:rsidR="00C67DE5" w:rsidRDefault="00C67DE5">
      <w:pPr>
        <w:spacing w:line="240" w:lineRule="exact"/>
        <w:jc w:val="both"/>
        <w:rPr>
          <w:sz w:val="28"/>
          <w:szCs w:val="28"/>
        </w:rPr>
      </w:pPr>
    </w:p>
    <w:p w:rsidR="00192555" w:rsidRDefault="00C04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правовой базы администрации города Перми </w:t>
      </w:r>
    </w:p>
    <w:p w:rsidR="00192555" w:rsidRDefault="00C0475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192555" w:rsidRDefault="00C04750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составления и представления дополнительной информации об исполнении бюджета города в Пермскую городскую Думу и Контрольно-счетную палату города Перми, утвержденный постановлением администрации города Перми от 15 февраля 2008 г. № 69 (в ред. от 21.01.2009 № 13, от 07.10.2009 </w:t>
      </w:r>
      <w:r w:rsidR="005517A0">
        <w:rPr>
          <w:sz w:val="28"/>
          <w:szCs w:val="28"/>
        </w:rPr>
        <w:br/>
      </w:r>
      <w:r>
        <w:rPr>
          <w:sz w:val="28"/>
          <w:szCs w:val="28"/>
        </w:rPr>
        <w:t>№ 673, от 11.02.2010 № 56, от 01.11.2010 № 730, от 21.09.2012 № 562, от 02.10.2014 № 676, от 20.04.2015 № 215, от 25.01.2016 № 48, от 10.10.2017 № 811, от 07.09.2023 № 820), следующие изменения:</w:t>
      </w:r>
    </w:p>
    <w:p w:rsidR="00192555" w:rsidRDefault="00C04750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 абзац второй пункта 2.1.1 изложить в следующей редакции:</w:t>
      </w:r>
    </w:p>
    <w:p w:rsidR="00192555" w:rsidRDefault="00C047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«Главные администраторы доходов бюджета города представляют в </w:t>
      </w:r>
      <w:r w:rsidR="005517A0">
        <w:rPr>
          <w:sz w:val="28"/>
          <w:szCs w:val="28"/>
        </w:rPr>
        <w:t>департамент финансов информацию</w:t>
      </w:r>
      <w:r>
        <w:rPr>
          <w:sz w:val="28"/>
          <w:szCs w:val="28"/>
        </w:rPr>
        <w:t xml:space="preserve"> по состоянию на </w:t>
      </w:r>
      <w:r w:rsidR="005517A0">
        <w:rPr>
          <w:sz w:val="28"/>
          <w:szCs w:val="28"/>
        </w:rPr>
        <w:t>0</w:t>
      </w:r>
      <w:r>
        <w:rPr>
          <w:sz w:val="28"/>
          <w:szCs w:val="28"/>
        </w:rPr>
        <w:t xml:space="preserve">1 апреля, </w:t>
      </w:r>
      <w:r w:rsidR="005517A0">
        <w:rPr>
          <w:sz w:val="28"/>
          <w:szCs w:val="28"/>
        </w:rPr>
        <w:t>0</w:t>
      </w:r>
      <w:r>
        <w:rPr>
          <w:sz w:val="28"/>
          <w:szCs w:val="28"/>
        </w:rPr>
        <w:t xml:space="preserve">1 июля, </w:t>
      </w:r>
      <w:r w:rsidR="005517A0">
        <w:rPr>
          <w:sz w:val="28"/>
          <w:szCs w:val="28"/>
        </w:rPr>
        <w:t>0</w:t>
      </w:r>
      <w:r>
        <w:rPr>
          <w:sz w:val="28"/>
          <w:szCs w:val="28"/>
        </w:rPr>
        <w:t>1 октябр</w:t>
      </w:r>
      <w:r w:rsidR="005517A0">
        <w:rPr>
          <w:sz w:val="28"/>
          <w:szCs w:val="28"/>
        </w:rPr>
        <w:t>я текущего года не позднее 15</w:t>
      </w:r>
      <w:r>
        <w:rPr>
          <w:sz w:val="28"/>
          <w:szCs w:val="28"/>
        </w:rPr>
        <w:t xml:space="preserve"> числа месяца, следующего за отчетным периодом, по состоянию на </w:t>
      </w:r>
      <w:r w:rsidR="005517A0">
        <w:rPr>
          <w:sz w:val="28"/>
          <w:szCs w:val="28"/>
        </w:rPr>
        <w:t>0</w:t>
      </w:r>
      <w:r>
        <w:rPr>
          <w:sz w:val="28"/>
          <w:szCs w:val="28"/>
        </w:rPr>
        <w:t xml:space="preserve">1 января года, следующего за отчетным годом, не позднее </w:t>
      </w:r>
      <w:r w:rsidR="005517A0">
        <w:rPr>
          <w:sz w:val="28"/>
          <w:szCs w:val="28"/>
        </w:rPr>
        <w:t>0</w:t>
      </w:r>
      <w:r>
        <w:rPr>
          <w:sz w:val="28"/>
          <w:szCs w:val="28"/>
        </w:rPr>
        <w:t>1 февраля года, следующего за отчетным годом.»;</w:t>
      </w:r>
    </w:p>
    <w:p w:rsidR="00192555" w:rsidRDefault="00C04750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2.1.7:</w:t>
      </w:r>
    </w:p>
    <w:p w:rsidR="00192555" w:rsidRDefault="00C047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абзац второй дополнить словами «, </w:t>
      </w:r>
      <w:r w:rsidR="005517A0">
        <w:rPr>
          <w:sz w:val="28"/>
          <w:szCs w:val="28"/>
        </w:rPr>
        <w:t>01 января</w:t>
      </w:r>
      <w:r>
        <w:rPr>
          <w:sz w:val="28"/>
          <w:szCs w:val="28"/>
        </w:rPr>
        <w:t xml:space="preserve"> года, следующего за отчетным годом»; </w:t>
      </w:r>
    </w:p>
    <w:p w:rsidR="00192555" w:rsidRDefault="00C047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абзац третий дополнить словами «, по итогам отчетного года – не позднее </w:t>
      </w:r>
      <w:r w:rsidR="005517A0">
        <w:rPr>
          <w:sz w:val="28"/>
          <w:szCs w:val="28"/>
        </w:rPr>
        <w:t>0</w:t>
      </w:r>
      <w:r>
        <w:rPr>
          <w:sz w:val="28"/>
          <w:szCs w:val="28"/>
        </w:rPr>
        <w:t>1 февраля года, следующего за отчетным годом»;</w:t>
      </w:r>
    </w:p>
    <w:p w:rsidR="00192555" w:rsidRDefault="00C04750">
      <w:pPr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1.3. абзац седьмой пункта 2.2 изложить в следующей редакции:</w:t>
      </w:r>
    </w:p>
    <w:p w:rsidR="00192555" w:rsidRDefault="00C0475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«информацию об остатке средств на едином счете бюджета города Перми (форма № 16),».</w:t>
      </w:r>
    </w:p>
    <w:p w:rsidR="00192555" w:rsidRDefault="00C04750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подписания. </w:t>
      </w:r>
    </w:p>
    <w:p w:rsidR="00192555" w:rsidRDefault="00C04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Управлению по общим вопросам администрации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92555" w:rsidRDefault="00C047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</w:t>
      </w:r>
      <w:r w:rsidR="005517A0">
        <w:rPr>
          <w:sz w:val="28"/>
          <w:szCs w:val="28"/>
        </w:rPr>
        <w:br/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192555" w:rsidRDefault="00C047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Фурман Я.В.</w:t>
      </w:r>
    </w:p>
    <w:p w:rsidR="00192555" w:rsidRDefault="00192555">
      <w:pPr>
        <w:jc w:val="both"/>
        <w:rPr>
          <w:sz w:val="28"/>
          <w:szCs w:val="28"/>
        </w:rPr>
      </w:pPr>
    </w:p>
    <w:p w:rsidR="00192555" w:rsidRDefault="00192555">
      <w:pPr>
        <w:jc w:val="both"/>
        <w:rPr>
          <w:sz w:val="28"/>
          <w:szCs w:val="28"/>
        </w:rPr>
      </w:pPr>
    </w:p>
    <w:p w:rsidR="00192555" w:rsidRDefault="00192555">
      <w:pPr>
        <w:jc w:val="both"/>
        <w:rPr>
          <w:sz w:val="28"/>
          <w:szCs w:val="28"/>
        </w:rPr>
      </w:pPr>
    </w:p>
    <w:p w:rsidR="00192555" w:rsidRDefault="00C04750">
      <w:pPr>
        <w:tabs>
          <w:tab w:val="left" w:pos="8364"/>
        </w:tabs>
        <w:spacing w:line="240" w:lineRule="exact"/>
        <w:jc w:val="both"/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  <w:t>Э.О. Соснин</w:t>
      </w:r>
    </w:p>
    <w:p w:rsidR="00192555" w:rsidRDefault="00192555">
      <w:pPr>
        <w:jc w:val="both"/>
        <w:rPr>
          <w:sz w:val="24"/>
        </w:rPr>
      </w:pPr>
    </w:p>
    <w:sectPr w:rsidR="00192555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627" w:rsidRDefault="00AF7627">
      <w:r>
        <w:separator/>
      </w:r>
    </w:p>
  </w:endnote>
  <w:endnote w:type="continuationSeparator" w:id="0">
    <w:p w:rsidR="00AF7627" w:rsidRDefault="00AF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555" w:rsidRDefault="00192555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627" w:rsidRDefault="00AF7627">
      <w:r>
        <w:separator/>
      </w:r>
    </w:p>
  </w:footnote>
  <w:footnote w:type="continuationSeparator" w:id="0">
    <w:p w:rsidR="00AF7627" w:rsidRDefault="00AF7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555" w:rsidRDefault="00C04750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192555" w:rsidRDefault="0019255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555" w:rsidRDefault="00C04750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9E6C6B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192555" w:rsidRDefault="0019255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27E3E"/>
    <w:multiLevelType w:val="multilevel"/>
    <w:tmpl w:val="71FE9F82"/>
    <w:lvl w:ilvl="0">
      <w:start w:val="1"/>
      <w:numFmt w:val="decimal"/>
      <w:lvlText w:val="%1."/>
      <w:lvlJc w:val="left"/>
      <w:pPr>
        <w:ind w:left="2137" w:hanging="360"/>
      </w:pPr>
    </w:lvl>
    <w:lvl w:ilvl="1">
      <w:start w:val="1"/>
      <w:numFmt w:val="decimal"/>
      <w:lvlText w:val="%1.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55"/>
    <w:rsid w:val="00192555"/>
    <w:rsid w:val="005517A0"/>
    <w:rsid w:val="00556DC6"/>
    <w:rsid w:val="009E6C6B"/>
    <w:rsid w:val="00AF7627"/>
    <w:rsid w:val="00C04750"/>
    <w:rsid w:val="00C6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880B3-C0BB-45D8-94F5-ECA3CBD0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Краюшкина Ольга Павловна</cp:lastModifiedBy>
  <cp:revision>6</cp:revision>
  <dcterms:created xsi:type="dcterms:W3CDTF">2024-10-07T11:47:00Z</dcterms:created>
  <dcterms:modified xsi:type="dcterms:W3CDTF">2024-10-18T04:33:00Z</dcterms:modified>
  <cp:version>983040</cp:version>
</cp:coreProperties>
</file>