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-185420</wp:posOffset>
                </wp:positionV>
                <wp:extent cx="6285865" cy="1945005"/>
                <wp:effectExtent l="635" t="254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/>
                            </w:p>
                            <w:p>
                              <w:pPr>
                                <w:pStyle w:val="8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  <w:r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2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 xml:space="preserve"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 А С П О Р Я Ж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-19.85pt;mso-position-horizontal:absolute;mso-position-vertical-relative:text;margin-top:-14.6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2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мониторинга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качества финансового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менеджмента</w:t>
      </w:r>
      <w:r>
        <w:rPr>
          <w:b/>
          <w:sz w:val="28"/>
          <w:szCs w:val="28"/>
        </w:rPr>
        <w:t xml:space="preserve">, утвержденн</w:t>
      </w:r>
      <w:r>
        <w:rPr>
          <w:b/>
          <w:sz w:val="28"/>
          <w:szCs w:val="28"/>
        </w:rPr>
        <w:t xml:space="preserve">ый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заместителя главы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департамента финансов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.02.2020 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059-06-01.01-03-р-31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</w:pPr>
      <w:r/>
      <w:r/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6 статьи 160.2-1 Бюджетного </w:t>
      </w:r>
      <w:r>
        <w:rPr>
          <w:sz w:val="28"/>
          <w:szCs w:val="28"/>
        </w:rPr>
        <w:t xml:space="preserve">кодекса Российской Федерации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проведения мониторинга качества финансового менеджмента,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распоряжением заместителя главы администрации города Перми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 февраля 2020 № 059-06-01.01-03-р-31 (в ред. </w:t>
      </w:r>
      <w:r>
        <w:rPr>
          <w:sz w:val="28"/>
          <w:szCs w:val="28"/>
        </w:rPr>
        <w:t xml:space="preserve">от 12.05.2020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059-06-01.01-03-р-61, от 18.11.2020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059-06-01.01-03-р-152,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07.04.2021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059-06-01.01-03-р-55, от 20.12.2021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059-06-01.01-03-р-215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18.03.2022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059-06-01.01-03-р-68, от 28.04.2022 № 059-06-01.01-03-р-114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30.03.2023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bCs/>
          <w:sz w:val="28"/>
          <w:szCs w:val="28"/>
        </w:rPr>
        <w:t xml:space="preserve"> 059-06-01.01-03-р-91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от 25.04.2023 </w:t>
      </w:r>
      <w:hyperlink r:id="rId12" w:tooltip="consultantplus://offline/ref=D36957CF623A8A2A5D7950429928145BAFDAD023457327636972A19B10340CA96D2D178E7D3015E24008A846F601C5796E3E4F97D615C7DEBEAE24D0z9kAK" w:history="1">
        <w:r>
          <w:rPr>
            <w:bCs/>
            <w:sz w:val="28"/>
            <w:szCs w:val="28"/>
          </w:rPr>
          <w:t xml:space="preserve">№ </w:t>
        </w:r>
        <w:r>
          <w:rPr>
            <w:bCs/>
            <w:sz w:val="28"/>
            <w:szCs w:val="28"/>
          </w:rPr>
          <w:t xml:space="preserve">059-06-01.01-03-р-114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25.09.2023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059-06-01.01-03-р-222</w:t>
      </w:r>
      <w:r>
        <w:rPr>
          <w:sz w:val="28"/>
          <w:szCs w:val="28"/>
        </w:rPr>
        <w:t xml:space="preserve">, от 11.04.2024 № 059-06-01/01-03-р-74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</w:t>
      </w:r>
      <w:r>
        <w:rPr>
          <w:sz w:val="28"/>
          <w:szCs w:val="28"/>
        </w:rPr>
        <w:t xml:space="preserve">зац первый </w:t>
      </w:r>
      <w:r>
        <w:rPr>
          <w:sz w:val="28"/>
          <w:szCs w:val="28"/>
        </w:rPr>
        <w:t xml:space="preserve">пункта 1.1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«1.1.</w:t>
      </w:r>
      <w:r>
        <w:rPr>
          <w:sz w:val="28"/>
          <w:szCs w:val="28"/>
        </w:rPr>
        <w:t xml:space="preserve"> Порядок определяет </w:t>
      </w:r>
      <w:r>
        <w:rPr>
          <w:sz w:val="28"/>
          <w:szCs w:val="28"/>
        </w:rPr>
        <w:t xml:space="preserve">правила</w:t>
      </w:r>
      <w:r>
        <w:rPr>
          <w:sz w:val="28"/>
          <w:szCs w:val="28"/>
        </w:rPr>
        <w:t xml:space="preserve"> проведения мониторинга качества финансового менеджмента в отношении </w:t>
      </w:r>
      <w:r>
        <w:rPr>
          <w:sz w:val="28"/>
          <w:szCs w:val="28"/>
        </w:rPr>
        <w:t xml:space="preserve">главных администраторов доходов бюджета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, главных распорядителей средств бюджета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(далее – ГАБС)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абзац пятый пункта 2.2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абзацы с восьмого по одиннадцатый пункта 2.2 исключить 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</w:rPr>
        <w:t xml:space="preserve">аб</w:t>
      </w:r>
      <w:r>
        <w:rPr>
          <w:sz w:val="28"/>
          <w:szCs w:val="28"/>
        </w:rPr>
        <w:t xml:space="preserve">зац двенадцатый </w:t>
      </w:r>
      <w:r>
        <w:rPr>
          <w:sz w:val="28"/>
          <w:szCs w:val="28"/>
        </w:rPr>
        <w:t xml:space="preserve">пункта 2.2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учае объективной невозможности расчета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какой-либо группы показателей качества финансового менеджмента 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 вес эт</w:t>
      </w:r>
      <w:r>
        <w:rPr>
          <w:rFonts w:ascii="Times New Roman" w:hAnsi="Times New Roman" w:eastAsia="Times New Roman" w:cs="Times New Roman"/>
          <w:strike w:val="0"/>
          <w:color w:val="000000"/>
          <w:sz w:val="28"/>
          <w:szCs w:val="28"/>
          <w:highlight w:val="white"/>
        </w:rPr>
        <w:t xml:space="preserve">ой группы пропорционально перераспределяется на другие  группы показателей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качества финан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сового менеджмента.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1.5. </w:t>
      </w:r>
      <w:r>
        <w:rPr>
          <w:sz w:val="28"/>
          <w:szCs w:val="28"/>
        </w:rPr>
        <w:t xml:space="preserve">аб</w:t>
      </w:r>
      <w:r>
        <w:rPr>
          <w:sz w:val="28"/>
          <w:szCs w:val="28"/>
        </w:rPr>
        <w:t xml:space="preserve">зац восьмой </w:t>
      </w:r>
      <w:r>
        <w:rPr>
          <w:sz w:val="28"/>
          <w:szCs w:val="28"/>
        </w:rPr>
        <w:t xml:space="preserve">пункта 2.3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учае объективной невозможности расчета какого-либо показателя качества финансового менеджмента в составе группы (подгруппы) вес этого показателя пропорционально перераспределяется на другие показатели в составе группы (подгруппы) показателей качества финан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сового менеджмента.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Приложение 1 изложить в редакции согласно приложению  к </w:t>
      </w:r>
      <w:r>
        <w:rPr>
          <w:sz w:val="28"/>
          <w:szCs w:val="28"/>
        </w:rPr>
        <w:t xml:space="preserve">настоящему распоряжению.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3.</w:t>
      </w:r>
      <w:r>
        <w:rPr>
          <w:sz w:val="28"/>
          <w:szCs w:val="28"/>
        </w:rPr>
        <w:t xml:space="preserve"> В приложении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«Методика расчета показателей качества финансового менеджмента»</w:t>
      </w:r>
      <w:r>
        <w:t xml:space="preserve"> 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 3.1. строки 1.3 и 1.4 исключить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3.2. строку 1.7 исключить</w:t>
      </w:r>
      <w:r>
        <w:rPr>
          <w:sz w:val="28"/>
          <w:szCs w:val="28"/>
        </w:rPr>
        <w:t xml:space="preserve">;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3.3. строку 2.1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9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2407"/>
        <w:gridCol w:w="425"/>
        <w:gridCol w:w="2267"/>
        <w:gridCol w:w="2552"/>
      </w:tblGrid>
      <w:tr>
        <w:tblPrEx/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  <w:t xml:space="preserve">.1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  <w:t xml:space="preserve">Качество </w:t>
            </w:r>
            <w:r>
              <w:rPr>
                <w:sz w:val="22"/>
              </w:rPr>
              <w:t xml:space="preserve">плани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  <w:t xml:space="preserve">рования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поступ</w:t>
            </w:r>
            <w:r>
              <w:rPr>
                <w:sz w:val="22"/>
              </w:rPr>
              <w:t xml:space="preserve">-</w:t>
            </w:r>
            <w:r>
              <w:rPr>
                <w:sz w:val="22"/>
              </w:rPr>
              <w:t xml:space="preserve">лений</w:t>
            </w:r>
            <w:r>
              <w:rPr>
                <w:sz w:val="22"/>
              </w:rPr>
              <w:t xml:space="preserve"> доходов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 = </w:t>
            </w:r>
            <w:r>
              <w:rPr>
                <w:sz w:val="22"/>
              </w:rPr>
              <w:t xml:space="preserve">Дфакт</w:t>
            </w:r>
            <w:r>
              <w:rPr>
                <w:sz w:val="22"/>
              </w:rPr>
              <w:t xml:space="preserve"> / </w:t>
            </w:r>
            <w:r>
              <w:rPr>
                <w:sz w:val="22"/>
              </w:rPr>
              <w:t xml:space="preserve">Дплан</w:t>
            </w:r>
            <w:r>
              <w:rPr>
                <w:sz w:val="22"/>
              </w:rPr>
              <w:t xml:space="preserve"> x 100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&gt;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=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100% - 5 баллов;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white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99% &lt;= Р &lt; 100% - 4 балла;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95% &lt;= Р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&lt;=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 98% - 2,5 балла;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Р &lt; 95% - 1 балл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  <w:p>
            <w:pPr>
              <w:pStyle w:val="88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82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Значение показателя свидетельствует об уровне исполнения плана по администрируемым</w:t>
            </w:r>
            <w:r>
              <w:rPr>
                <w:sz w:val="22"/>
              </w:rPr>
              <w:t xml:space="preserve"> налоговым и неналоговым доходам</w:t>
            </w:r>
            <w:r>
              <w:rPr>
                <w:sz w:val="22"/>
              </w:rPr>
              <w:t xml:space="preserve">. Целевым ориентиром является значение показателя не ниже 100%. Показатель рассчитывается ежеквартально, за 11 месяцев и ежегодно.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Источник информации - ПК АЦК-финансы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где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 - уровень исполнения плана по администрируемым </w:t>
            </w:r>
            <w:r>
              <w:rPr>
                <w:sz w:val="22"/>
              </w:rPr>
              <w:t xml:space="preserve">налоговым и неналоговым </w:t>
            </w:r>
            <w:r>
              <w:rPr>
                <w:sz w:val="22"/>
              </w:rPr>
              <w:t xml:space="preserve">доходам </w:t>
            </w:r>
            <w:r>
              <w:rPr>
                <w:sz w:val="22"/>
              </w:rPr>
              <w:t xml:space="preserve">з</w:t>
            </w:r>
            <w:r>
              <w:rPr>
                <w:sz w:val="22"/>
              </w:rPr>
              <w:t xml:space="preserve">а отчетный период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Дфакт</w:t>
            </w:r>
            <w:r>
              <w:rPr>
                <w:sz w:val="22"/>
              </w:rPr>
              <w:t xml:space="preserve"> - кассовое исполнение по администрируемым </w:t>
            </w:r>
            <w:r>
              <w:rPr>
                <w:sz w:val="22"/>
              </w:rPr>
              <w:t xml:space="preserve">налоговым и неналоговым доходам</w:t>
            </w:r>
            <w:r>
              <w:rPr>
                <w:sz w:val="22"/>
              </w:rPr>
              <w:t xml:space="preserve"> в отчетном периоде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(без учета объема невыясненных поступлений в бюджет)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Дплан</w:t>
            </w:r>
            <w:r>
              <w:rPr>
                <w:sz w:val="22"/>
              </w:rPr>
              <w:t xml:space="preserve"> - кассовый план по администрируемым</w:t>
            </w:r>
            <w:r>
              <w:rPr>
                <w:sz w:val="22"/>
              </w:rPr>
              <w:t xml:space="preserve"> налоговым и неналоговым доходом</w:t>
            </w:r>
            <w:r>
              <w:rPr>
                <w:sz w:val="22"/>
              </w:rPr>
              <w:t xml:space="preserve"> з</w:t>
            </w:r>
            <w:r>
              <w:rPr>
                <w:sz w:val="22"/>
              </w:rPr>
              <w:t xml:space="preserve">а отчетный период,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итогам года - уточненный годовой план по администрируемым </w:t>
            </w:r>
            <w:r>
              <w:rPr>
                <w:sz w:val="22"/>
              </w:rPr>
              <w:t xml:space="preserve">налоговым и неналоговым доходам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3.4. </w:t>
      </w:r>
      <w:r>
        <w:rPr>
          <w:sz w:val="28"/>
          <w:szCs w:val="28"/>
        </w:rPr>
        <w:t xml:space="preserve">строку 4 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«Управление муниципальными услугами»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3.5. дополнить строкой 4.4 следующего содержания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W w:w="9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1276"/>
        <w:gridCol w:w="2407"/>
        <w:gridCol w:w="425"/>
        <w:gridCol w:w="2267"/>
        <w:gridCol w:w="2552"/>
      </w:tblGrid>
      <w:tr>
        <w:tblPrEx/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4.4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Объем незавершенного строительства (более года после окончания строительства) у ГРБС и подведомственных ему учреждений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 = НЗС / НЗС ГОД x 100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r/>
            <w:r/>
          </w:p>
        </w:tc>
        <w:tc>
          <w:tcPr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 &lt;= 5% - 5 баллов;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 &gt; 5% - 1 балл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82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Значение показателя свидетельствует о наличии незавершен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ного строительства (более года после окончания строительства) у ГРБС и подведомственных ему учреждений за счет собственных средств бюджета города. Целевым ориентиром является значение показателя, не превышающее 5%. Показатель рассчитывается по итогам года.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Источник информации - информация ГАБС для проведения мониторинга качества финансового менеджмента по  приложения 3 к Порядку проведения мониторинга качества финансового менеджмента.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r/>
            <w:r/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Р - доля объема незавершенного строительства (более года после окончания строительства)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где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НЗС - объем незавершенного строительства (более года после окончания строительства) у ГРБС и подведомственных ему учреждений за счет собственных средств бюджета города по итогам года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708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407" w:type="dxa"/>
            <w:vAlign w:val="center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pP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  <w:t xml:space="preserve">НЗС ГОД - общий объем незавершенного строительства у ГРБС и подведомственных ему учреждений за счет собственных средств бюджета города по итогам года</w:t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  <w:r>
              <w:rPr>
                <w:rFonts w:ascii="TimesNewRoman" w:hAnsi="TimesNewRoman" w:eastAsia="TimesNewRoman" w:cs="TimesNewRoman"/>
                <w:b w:val="0"/>
                <w:i w:val="0"/>
                <w:strike w:val="0"/>
                <w:sz w:val="24"/>
              </w:rPr>
            </w:r>
          </w:p>
          <w:p>
            <w:r/>
            <w:r/>
          </w:p>
        </w:tc>
        <w:tc>
          <w:tcPr>
            <w:tcW w:w="425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267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ind w:firstLine="709"/>
              <w:spacing w:after="1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</w:t>
      </w:r>
      <w:r>
        <w:rPr>
          <w:sz w:val="28"/>
          <w:szCs w:val="28"/>
        </w:rPr>
        <w:t xml:space="preserve">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при проведении мониторинга качества финансового менеджмента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начиная с </w:t>
      </w:r>
      <w:r>
        <w:rPr>
          <w:sz w:val="28"/>
          <w:szCs w:val="28"/>
        </w:rPr>
        <w:t xml:space="preserve">проведения оценки результатов исполнения бюджета города Перми за </w:t>
      </w:r>
      <w:r>
        <w:rPr>
          <w:sz w:val="28"/>
          <w:szCs w:val="28"/>
        </w:rPr>
        <w:t xml:space="preserve"> 2024 год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Начальнику управления </w:t>
      </w:r>
      <w:r>
        <w:rPr>
          <w:sz w:val="28"/>
          <w:szCs w:val="28"/>
        </w:rPr>
        <w:t xml:space="preserve">бюджетной методологии и межбюджетных отношений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Антипиной Т.Ф.</w:t>
      </w:r>
      <w:r>
        <w:rPr>
          <w:sz w:val="28"/>
          <w:szCs w:val="28"/>
        </w:rPr>
        <w:t xml:space="preserve"> обеспечить направление настоящего распоряжения в управление по общим </w:t>
      </w:r>
      <w:r>
        <w:rPr>
          <w:sz w:val="28"/>
          <w:szCs w:val="28"/>
        </w:rPr>
        <w:t xml:space="preserve">вопросам администрации города Перми для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Интернет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управления по обеспечению деятельности департамента финансов администрации города Перми </w:t>
      </w:r>
      <w:r>
        <w:rPr>
          <w:sz w:val="28"/>
          <w:szCs w:val="28"/>
        </w:rPr>
        <w:t xml:space="preserve">Канзепаровой</w:t>
      </w:r>
      <w:r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начальника </w:t>
      </w:r>
      <w:r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бюджетной методологии и межбюджетных отношений</w:t>
      </w:r>
      <w:r>
        <w:rPr>
          <w:sz w:val="28"/>
          <w:szCs w:val="28"/>
        </w:rPr>
        <w:t xml:space="preserve"> департамента финансов администрации города Перми </w:t>
      </w:r>
      <w:r>
        <w:rPr>
          <w:sz w:val="28"/>
          <w:szCs w:val="28"/>
        </w:rPr>
        <w:t xml:space="preserve">Антипину Т.Ф.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93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В.С. Титяпкина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28"/>
          <w:szCs w:val="28"/>
        </w:rPr>
        <w:sectPr>
          <w:headerReference w:type="default" r:id="rId8"/>
          <w:headerReference w:type="even" r:id="rId9"/>
          <w:footnotePr/>
          <w:endnotePr/>
          <w:type w:val="nextPage"/>
          <w:pgSz w:w="11900" w:h="16820" w:orient="portrait"/>
          <w:pgMar w:top="851" w:right="567" w:bottom="1276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 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lightGray"/>
        </w:rPr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lightGray"/>
        </w:rPr>
      </w:r>
      <w:r>
        <w:rPr>
          <w:rFonts w:ascii="Arial" w:hAnsi="Arial" w:eastAsia="Arial" w:cs="Arial"/>
          <w:b/>
          <w:bCs w:val="0"/>
          <w:i w:val="0"/>
          <w:strike w:val="0"/>
          <w:sz w:val="24"/>
          <w:szCs w:val="24"/>
          <w:highlight w:val="lightGray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Arial" w:hAnsi="Arial" w:eastAsia="Arial" w:cs="Arial"/>
          <w:b/>
          <w:i w:val="0"/>
          <w:strike w:val="0"/>
          <w:sz w:val="24"/>
          <w:highlight w:val="none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2"/>
        <w:ind w:left="0"/>
        <w:spacing w:line="240" w:lineRule="exact"/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                                                                                   </w:t>
      </w:r>
      <w:r>
        <w:rPr>
          <w:szCs w:val="28"/>
        </w:rPr>
        <w:t xml:space="preserve">      к распоряжению</w:t>
      </w:r>
      <w:r>
        <w:rPr>
          <w:szCs w:val="28"/>
        </w:rPr>
        <w:t xml:space="preserve"> начальника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pStyle w:val="882"/>
        <w:ind w:left="0"/>
        <w:spacing w:line="240" w:lineRule="exact"/>
      </w:pPr>
      <w:r>
        <w:rPr>
          <w:szCs w:val="28"/>
        </w:rPr>
        <w:t xml:space="preserve">                                                                                          департамента финансов   </w:t>
      </w:r>
      <w:r/>
    </w:p>
    <w:p>
      <w:pPr>
        <w:pStyle w:val="882"/>
        <w:ind w:left="0"/>
        <w:spacing w:line="240" w:lineRule="exact"/>
      </w:pPr>
      <w:r>
        <w:rPr>
          <w:szCs w:val="28"/>
        </w:rPr>
        <w:t xml:space="preserve">                                                                                          администрации города Перми</w:t>
      </w:r>
      <w:r/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показателей для проведения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ежеквартального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мониторинга качества финансового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менеджмента</w:t>
      </w:r>
      <w:r>
        <w:rPr>
          <w:rFonts w:ascii="Times New Roman" w:hAnsi="Times New Roman" w:cs="Times New Roman"/>
          <w:b/>
          <w:i w:val="0"/>
          <w:strike w:val="0"/>
          <w:sz w:val="24"/>
        </w:rPr>
      </w:r>
      <w:r>
        <w:rPr>
          <w:rFonts w:ascii="Times New Roman" w:hAnsi="Times New Roman" w:cs="Times New Roman"/>
          <w:b/>
          <w:i w:val="0"/>
          <w:strike w:val="0"/>
          <w:sz w:val="24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6"/>
        <w:gridCol w:w="6137"/>
        <w:gridCol w:w="2551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показателей качества финансового менеджмента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Вес группы в оценке/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вес показателя в группе,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Качество управления расходами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Доля неисполненных бюджетных ассигнований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1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Доля неисполненных бюджетных ассигнований по бюджетным инвестициям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6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Доля неисполненных бюджетных ассигнований (без учета бюджетных инвестиций)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Качество подготовки обоснований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6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Соблюдение требований к составу правовых актов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7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Соблюдение требований к составу расчетов и документов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Отсутствие (наличие) замечаний Контрольно-счетной палаты города Перми и управления экспертизы и аналитики аппарата Пермской городской Думы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  <w:trHeight w:val="5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Отсутствие (наличие) просроченной кредиторской задолженности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  <w:u w:val="none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  <w:u w:val="no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Отсутствие (наличие) задолженности по налогам и сборам, страховым взносам, пеням, штрафам у ГАБС и подведомственных ему муниципальных учреждений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Своевременность заключения соглашений (дополнительных соглашений) о предоставлении целевых межбюджетных трансфертов с Пермским краем (за исключением субвенций)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Качество управления доходами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Качество планирования поступлений доходов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Управление дебиторской задолженностью по доходам (недоимка)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Качество организации контроля и аудита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Уровень исполнения плана проверок муниципальных автономных и бюджетных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Осуществление внутреннего финансового контроля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37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Осуществление внутреннего финансового аудита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</w:tbl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показателей для проведения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ежегодного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мониторинга качества финансового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  <w:highlight w:val="white"/>
        </w:rPr>
      </w:r>
    </w:p>
    <w:p>
      <w:pPr>
        <w:pStyle w:val="889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t xml:space="preserve">менеджмента</w:t>
      </w:r>
      <w:r>
        <w:rPr>
          <w:rFonts w:ascii="Times New Roman" w:hAnsi="Times New Roman" w:cs="Times New Roman"/>
          <w:b/>
          <w:i w:val="0"/>
          <w:strike w:val="0"/>
          <w:sz w:val="24"/>
          <w:highlight w:val="white"/>
        </w:rPr>
      </w:r>
      <w:r>
        <w:rPr>
          <w:rFonts w:ascii="Times New Roman" w:hAnsi="Times New Roman" w:cs="Times New Roman"/>
          <w:b/>
          <w:i w:val="0"/>
          <w:strike w:val="0"/>
          <w:sz w:val="24"/>
          <w:highlight w:val="white"/>
        </w:rPr>
      </w:r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  <w:highlight w:val="white"/>
        </w:rPr>
      </w:r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6"/>
        <w:gridCol w:w="6342"/>
        <w:gridCol w:w="2346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показателей качества финансового менеджмента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Вес группы в оценке/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вес показателя в группе,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Качество управления расходами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неисполненных бюджетных ассигнований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неисполненных бюджетных ассигнований по бюджетным инвестициям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неисполненных бюджетных ассигнований (без учета бюджетных инвестиций) на конец отчетного периода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white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Качество подготовки обоснований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  <w:trHeight w:val="6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Соблюдение требований к составу правовых актов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Соблюдение требований к составу расчетов и документов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1.2.3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Отсутствие (наличие) замечаний Контрольно-счетной палаты города Перми и управления экспертизы и аналитики аппарата Пермской городской Думы к планируемым объемам бюджетных ассигнований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Отсутствие (наличие) просроченной кредиторской задолженности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1.4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Отсутствие (наличие) задолженности по налогам и сборам, страховым взносам, пеням, штрафам у ГАБС и подведомственных ему муниципальных учреждений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highlight w:val="lightGray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1.5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Своевременность заключения соглашений (дополнительных соглашений) о предоставлении целевых межбюджетных трансфертов с Пермским краем (за исключением субвенций)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Качество управления доходами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Качество планирования поступлений доходов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Управление дебиторской задолженностью по доходам (недоимка)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Качество организации контроля и аудита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исполнения плана проверок муниципальных автономных и бюджетных учреждений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Осуществление внутреннего финансового контроля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Осуществление внутреннего финансового аудита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/>
                <w:bCs w:val="0"/>
                <w:i w:val="0"/>
                <w:strike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highlight w:val="white"/>
              </w:rPr>
              <w:t xml:space="preserve">Управление муниципальными услугами</w:t>
            </w:r>
            <w:r>
              <w:rPr>
                <w:rFonts w:ascii="Times New Roman" w:hAnsi="Times New Roman" w:cs="Times New Roman"/>
                <w:b/>
                <w:bCs w:val="0"/>
                <w:i w:val="0"/>
                <w:strike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 w:val="0"/>
                <w:i w:val="0"/>
                <w:strike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/>
                <w:bCs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 том числе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4.1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муниципальных учреждений, подведомственных главным распорядителям бюджетных средств, нарушивших условия выполнения муниципального задания и (или) выполнивших муниципальное задание не в полном объеме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4.2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4.3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2" w:type="dxa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Объем незавершенного строительства (более года после окончания строительства) у ГАБС и подведомственных ему учреждений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6" w:type="dxa"/>
            <w:vMerge w:val="restart"/>
            <w:textDirection w:val="lrTb"/>
            <w:noWrap w:val="false"/>
          </w:tcPr>
          <w:p>
            <w:pPr>
              <w:pStyle w:val="89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882"/>
        <w:jc w:val="right"/>
      </w:pPr>
      <w:r/>
      <w:r/>
    </w:p>
    <w:sectPr>
      <w:footnotePr/>
      <w:endnotePr/>
      <w:type w:val="nextPage"/>
      <w:pgSz w:w="11900" w:h="16820" w:orient="portrait"/>
      <w:pgMar w:top="567" w:right="567" w:bottom="709" w:left="992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35967646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  <w:p>
        <w:pPr>
          <w:pStyle w:val="877"/>
          <w:jc w:val="center"/>
        </w:pPr>
        <w:r/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9"/>
    <w:link w:val="867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9"/>
    <w:link w:val="868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69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9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9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9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9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9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6"/>
    <w:next w:val="866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9"/>
    <w:link w:val="713"/>
    <w:uiPriority w:val="10"/>
    <w:rPr>
      <w:sz w:val="48"/>
      <w:szCs w:val="48"/>
    </w:rPr>
  </w:style>
  <w:style w:type="paragraph" w:styleId="715">
    <w:name w:val="Subtitle"/>
    <w:basedOn w:val="866"/>
    <w:next w:val="866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9"/>
    <w:link w:val="715"/>
    <w:uiPriority w:val="11"/>
    <w:rPr>
      <w:sz w:val="24"/>
      <w:szCs w:val="24"/>
    </w:rPr>
  </w:style>
  <w:style w:type="paragraph" w:styleId="717">
    <w:name w:val="Quote"/>
    <w:basedOn w:val="866"/>
    <w:next w:val="866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6"/>
    <w:next w:val="866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character" w:styleId="721">
    <w:name w:val="Header Char"/>
    <w:basedOn w:val="869"/>
    <w:link w:val="877"/>
    <w:uiPriority w:val="99"/>
  </w:style>
  <w:style w:type="character" w:styleId="722">
    <w:name w:val="Footer Char"/>
    <w:basedOn w:val="869"/>
    <w:link w:val="875"/>
    <w:uiPriority w:val="99"/>
  </w:style>
  <w:style w:type="character" w:styleId="723">
    <w:name w:val="Caption Char"/>
    <w:basedOn w:val="872"/>
    <w:link w:val="875"/>
    <w:uiPriority w:val="99"/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9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9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paragraph" w:styleId="867">
    <w:name w:val="Heading 1"/>
    <w:basedOn w:val="866"/>
    <w:next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Heading 2"/>
    <w:basedOn w:val="866"/>
    <w:next w:val="866"/>
    <w:qFormat/>
    <w:pPr>
      <w:ind w:right="-1"/>
      <w:jc w:val="both"/>
      <w:keepNext/>
      <w:outlineLvl w:val="1"/>
    </w:pPr>
    <w:rPr>
      <w:sz w:val="24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Caption"/>
    <w:basedOn w:val="866"/>
    <w:next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Body Text"/>
    <w:basedOn w:val="866"/>
    <w:pPr>
      <w:ind w:right="3117"/>
    </w:pPr>
    <w:rPr>
      <w:rFonts w:ascii="Courier New" w:hAnsi="Courier New"/>
      <w:sz w:val="26"/>
    </w:rPr>
  </w:style>
  <w:style w:type="paragraph" w:styleId="874">
    <w:name w:val="Body Text Indent"/>
    <w:basedOn w:val="866"/>
    <w:pPr>
      <w:ind w:right="-1"/>
      <w:jc w:val="both"/>
    </w:pPr>
    <w:rPr>
      <w:sz w:val="26"/>
    </w:rPr>
  </w:style>
  <w:style w:type="paragraph" w:styleId="875">
    <w:name w:val="Footer"/>
    <w:basedOn w:val="866"/>
    <w:pPr>
      <w:tabs>
        <w:tab w:val="center" w:pos="4153" w:leader="none"/>
        <w:tab w:val="right" w:pos="8306" w:leader="none"/>
      </w:tabs>
    </w:pPr>
  </w:style>
  <w:style w:type="character" w:styleId="876">
    <w:name w:val="page number"/>
    <w:basedOn w:val="869"/>
  </w:style>
  <w:style w:type="paragraph" w:styleId="877">
    <w:name w:val="Header"/>
    <w:basedOn w:val="866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78">
    <w:name w:val="Balloon Text"/>
    <w:basedOn w:val="866"/>
    <w:link w:val="879"/>
    <w:rPr>
      <w:rFonts w:ascii="Segoe UI" w:hAnsi="Segoe UI" w:cs="Segoe UI"/>
      <w:sz w:val="18"/>
      <w:szCs w:val="18"/>
    </w:rPr>
  </w:style>
  <w:style w:type="character" w:styleId="879" w:customStyle="1">
    <w:name w:val="Текст выноски Знак"/>
    <w:link w:val="878"/>
    <w:rPr>
      <w:rFonts w:ascii="Segoe UI" w:hAnsi="Segoe UI" w:cs="Segoe UI"/>
      <w:sz w:val="18"/>
      <w:szCs w:val="18"/>
    </w:rPr>
  </w:style>
  <w:style w:type="paragraph" w:styleId="880" w:customStyle="1">
    <w:name w:val="Содержимое таблицы"/>
    <w:basedOn w:val="866"/>
    <w:pPr>
      <w:suppressLineNumbers/>
    </w:pPr>
    <w:rPr>
      <w:lang w:eastAsia="zh-CN"/>
    </w:rPr>
  </w:style>
  <w:style w:type="paragraph" w:styleId="881" w:customStyle="1">
    <w:name w:val="Заголовок к тексту"/>
    <w:basedOn w:val="866"/>
    <w:next w:val="873"/>
    <w:pPr>
      <w:spacing w:after="480" w:line="240" w:lineRule="exact"/>
    </w:pPr>
    <w:rPr>
      <w:sz w:val="28"/>
    </w:rPr>
  </w:style>
  <w:style w:type="paragraph" w:styleId="882" w:customStyle="1">
    <w:name w:val="ConsPlusNormal"/>
    <w:pPr>
      <w:widowControl w:val="off"/>
    </w:pPr>
    <w:rPr>
      <w:sz w:val="28"/>
      <w:szCs w:val="22"/>
    </w:rPr>
  </w:style>
  <w:style w:type="character" w:styleId="883">
    <w:name w:val="Placeholder Text"/>
    <w:uiPriority w:val="99"/>
    <w:semiHidden/>
    <w:rPr>
      <w:color w:val="808080"/>
    </w:rPr>
  </w:style>
  <w:style w:type="paragraph" w:styleId="88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List Paragraph"/>
    <w:basedOn w:val="866"/>
    <w:uiPriority w:val="34"/>
    <w:qFormat/>
    <w:pPr>
      <w:contextualSpacing/>
      <w:ind w:left="720"/>
    </w:pPr>
  </w:style>
  <w:style w:type="table" w:styleId="887">
    <w:name w:val="Table Grid"/>
    <w:basedOn w:val="87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8" w:customStyle="1">
    <w:name w:val="Верхний колонтитул Знак"/>
    <w:basedOn w:val="869"/>
    <w:link w:val="877"/>
    <w:uiPriority w:val="99"/>
  </w:style>
  <w:style w:type="paragraph" w:styleId="889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9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consultantplus://offline/ref=D36957CF623A8A2A5D7950429928145BAFDAD023457327636972A19B10340CA96D2D178E7D3015E24008A846F601C5796E3E4F97D615C7DEBEAE24D0z9kA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BCAF-27F4-4766-AE51-5DC3913F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revision>10</cp:revision>
  <dcterms:created xsi:type="dcterms:W3CDTF">2024-04-08T08:53:00Z</dcterms:created>
  <dcterms:modified xsi:type="dcterms:W3CDTF">2024-10-23T12:38:44Z</dcterms:modified>
</cp:coreProperties>
</file>