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5" w:rsidRDefault="000137A6">
      <w:pPr>
        <w:pStyle w:val="af9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noProof/>
          <w:sz w:val="28"/>
          <w:szCs w:val="28"/>
          <w:highlight w:val="white"/>
          <w:lang w:val="ru-RU" w:eastAsia="ru-RU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2891459</wp:posOffset>
                </wp:positionH>
                <wp:positionV relativeFrom="paragraph">
                  <wp:posOffset>-553796</wp:posOffset>
                </wp:positionV>
                <wp:extent cx="406400" cy="495300"/>
                <wp:effectExtent l="0" t="0" r="0" b="0"/>
                <wp:wrapNone/>
                <wp:docPr id="1" name="_x0000_s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3;o:allowoverlap:true;o:allowincell:true;mso-position-horizontal-relative:text;margin-left:227.67pt;mso-position-horizontal:absolute;mso-position-vertical-relative:text;margin-top:-43.61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highlight w:val="white"/>
          <w:lang w:val="ru-RU"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43B5" w:rsidRDefault="005043B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5043B5" w:rsidRDefault="005043B5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043B5" w:rsidRDefault="000137A6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043B5" w:rsidRDefault="000137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043B5" w:rsidRDefault="005043B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043B5" w:rsidRDefault="005043B5"/>
                            <w:p w:rsidR="005043B5" w:rsidRDefault="005043B5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5043B5" w:rsidRPr="00B73124" w:rsidRDefault="00B7312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73124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25.10.20</w:t>
                              </w:r>
                              <w:bookmarkStart w:id="0" w:name="_GoBack"/>
                              <w:bookmarkEnd w:id="0"/>
                              <w:r w:rsidRPr="00B73124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</w:t>
                              </w:r>
                            </w:p>
                            <w:p w:rsidR="005043B5" w:rsidRDefault="005043B5">
                              <w:pPr>
                                <w:pStyle w:val="2"/>
                                <w:jc w:val="center"/>
                              </w:pPr>
                            </w:p>
                            <w:p w:rsidR="005043B5" w:rsidRDefault="005043B5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43B5" w:rsidRDefault="00B7312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1031</w:t>
                              </w:r>
                            </w:p>
                            <w:p w:rsidR="005043B5" w:rsidRDefault="005043B5"/>
                            <w:p w:rsidR="005043B5" w:rsidRDefault="005043B5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pt;height:130.8pt;z-index:251658242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043B5" w:rsidRDefault="005043B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5043B5" w:rsidRDefault="005043B5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5043B5" w:rsidRDefault="000137A6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43B5" w:rsidRDefault="000137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043B5" w:rsidRDefault="005043B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043B5" w:rsidRDefault="005043B5"/>
                      <w:p w:rsidR="005043B5" w:rsidRDefault="005043B5"/>
                    </w:txbxContent>
                  </v:textbox>
                </v:shape>
                <v:shape id="Надпись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043B5" w:rsidRPr="00B73124" w:rsidRDefault="00B7312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B73124">
                          <w:rPr>
                            <w:sz w:val="28"/>
                            <w:szCs w:val="28"/>
                            <w:u w:val="single"/>
                          </w:rPr>
                          <w:t>25.10.20</w:t>
                        </w:r>
                        <w:bookmarkStart w:id="1" w:name="_GoBack"/>
                        <w:bookmarkEnd w:id="1"/>
                        <w:r w:rsidRPr="00B73124">
                          <w:rPr>
                            <w:sz w:val="28"/>
                            <w:szCs w:val="28"/>
                            <w:u w:val="single"/>
                          </w:rPr>
                          <w:t>24</w:t>
                        </w:r>
                      </w:p>
                      <w:p w:rsidR="005043B5" w:rsidRDefault="005043B5">
                        <w:pPr>
                          <w:pStyle w:val="2"/>
                          <w:jc w:val="center"/>
                        </w:pPr>
                      </w:p>
                      <w:p w:rsidR="005043B5" w:rsidRDefault="005043B5"/>
                    </w:txbxContent>
                  </v:textbox>
                </v:shape>
                <v:shape id="Надпись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5043B5" w:rsidRDefault="00B7312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1031</w:t>
                        </w:r>
                      </w:p>
                      <w:p w:rsidR="005043B5" w:rsidRDefault="005043B5"/>
                      <w:p w:rsidR="005043B5" w:rsidRDefault="005043B5"/>
                    </w:txbxContent>
                  </v:textbox>
                </v:shape>
              </v:group>
            </w:pict>
          </mc:Fallback>
        </mc:AlternateContent>
      </w:r>
    </w:p>
    <w:p w:rsidR="005043B5" w:rsidRDefault="005043B5">
      <w:pPr>
        <w:pStyle w:val="af9"/>
        <w:ind w:right="0"/>
        <w:jc w:val="both"/>
        <w:rPr>
          <w:rFonts w:ascii="Times New Roman" w:hAnsi="Times New Roman"/>
          <w:sz w:val="24"/>
          <w:highlight w:val="white"/>
        </w:rPr>
      </w:pPr>
    </w:p>
    <w:p w:rsidR="005043B5" w:rsidRDefault="005043B5">
      <w:pPr>
        <w:jc w:val="both"/>
        <w:rPr>
          <w:sz w:val="24"/>
          <w:szCs w:val="24"/>
          <w:highlight w:val="white"/>
        </w:rPr>
      </w:pPr>
    </w:p>
    <w:p w:rsidR="005043B5" w:rsidRDefault="005043B5">
      <w:pPr>
        <w:jc w:val="both"/>
        <w:rPr>
          <w:sz w:val="24"/>
          <w:szCs w:val="24"/>
          <w:highlight w:val="white"/>
        </w:rPr>
      </w:pPr>
    </w:p>
    <w:p w:rsidR="005043B5" w:rsidRDefault="005043B5">
      <w:pPr>
        <w:spacing w:line="240" w:lineRule="exact"/>
        <w:rPr>
          <w:sz w:val="24"/>
          <w:szCs w:val="24"/>
          <w:highlight w:val="white"/>
        </w:rPr>
      </w:pPr>
    </w:p>
    <w:p w:rsidR="005043B5" w:rsidRDefault="005043B5">
      <w:pPr>
        <w:spacing w:line="240" w:lineRule="exact"/>
        <w:rPr>
          <w:sz w:val="24"/>
          <w:szCs w:val="24"/>
          <w:highlight w:val="white"/>
        </w:rPr>
      </w:pPr>
    </w:p>
    <w:p w:rsidR="005043B5" w:rsidRDefault="005043B5">
      <w:pPr>
        <w:spacing w:line="240" w:lineRule="exact"/>
        <w:rPr>
          <w:sz w:val="24"/>
          <w:szCs w:val="24"/>
          <w:highlight w:val="white"/>
        </w:rPr>
      </w:pPr>
    </w:p>
    <w:p w:rsidR="005043B5" w:rsidRDefault="005043B5">
      <w:pPr>
        <w:spacing w:line="240" w:lineRule="exact"/>
        <w:rPr>
          <w:sz w:val="24"/>
          <w:szCs w:val="24"/>
          <w:highlight w:val="white"/>
        </w:rPr>
      </w:pPr>
    </w:p>
    <w:p w:rsidR="004D378A" w:rsidRDefault="004D378A">
      <w:pPr>
        <w:spacing w:line="240" w:lineRule="exact"/>
        <w:rPr>
          <w:sz w:val="24"/>
          <w:szCs w:val="24"/>
          <w:highlight w:val="white"/>
        </w:rPr>
      </w:pPr>
    </w:p>
    <w:p w:rsidR="005043B5" w:rsidRDefault="000137A6">
      <w:pPr>
        <w:spacing w:line="240" w:lineRule="exact"/>
        <w:ind w:right="5103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</w:t>
      </w:r>
      <w:r>
        <w:rPr>
          <w:b/>
          <w:sz w:val="28"/>
          <w:szCs w:val="28"/>
          <w:highlight w:val="white"/>
        </w:rPr>
        <w:br w:type="textWrapping" w:clear="all"/>
        <w:t xml:space="preserve">в нормативные затраты </w:t>
      </w:r>
      <w:r>
        <w:rPr>
          <w:b/>
          <w:sz w:val="28"/>
          <w:szCs w:val="28"/>
          <w:highlight w:val="white"/>
        </w:rPr>
        <w:br w:type="textWrapping" w:clear="all"/>
        <w:t xml:space="preserve">на содержание и текущий ремонт </w:t>
      </w:r>
      <w:r>
        <w:rPr>
          <w:b/>
          <w:sz w:val="28"/>
          <w:szCs w:val="28"/>
          <w:highlight w:val="white"/>
        </w:rPr>
        <w:br/>
        <w:t xml:space="preserve">бесхозяйных и муниципальных </w:t>
      </w:r>
      <w:r>
        <w:rPr>
          <w:b/>
          <w:sz w:val="28"/>
          <w:szCs w:val="28"/>
          <w:highlight w:val="white"/>
        </w:rPr>
        <w:br/>
        <w:t xml:space="preserve">источников противопожарного </w:t>
      </w:r>
      <w:r>
        <w:rPr>
          <w:b/>
          <w:sz w:val="28"/>
          <w:szCs w:val="28"/>
          <w:highlight w:val="white"/>
        </w:rPr>
        <w:br/>
        <w:t xml:space="preserve">водоснабжения (пожарных водоемов, резервуаров, емкостей) и содержание муниципальных пожарных пирсов, утвержденные постановлением </w:t>
      </w:r>
      <w:r>
        <w:rPr>
          <w:b/>
          <w:sz w:val="28"/>
          <w:szCs w:val="28"/>
          <w:highlight w:val="white"/>
        </w:rPr>
        <w:br/>
        <w:t xml:space="preserve">администрации города Перми </w:t>
      </w:r>
      <w:r>
        <w:rPr>
          <w:b/>
          <w:sz w:val="28"/>
          <w:szCs w:val="28"/>
          <w:highlight w:val="white"/>
        </w:rPr>
        <w:br/>
        <w:t>от 30.12.2013 № 1254</w:t>
      </w:r>
      <w:r w:rsidR="004D378A">
        <w:rPr>
          <w:b/>
          <w:sz w:val="28"/>
          <w:szCs w:val="28"/>
          <w:highlight w:val="white"/>
        </w:rPr>
        <w:t xml:space="preserve"> </w:t>
      </w:r>
    </w:p>
    <w:p w:rsidR="005043B5" w:rsidRDefault="005043B5">
      <w:pPr>
        <w:spacing w:line="240" w:lineRule="exact"/>
        <w:jc w:val="both"/>
        <w:rPr>
          <w:sz w:val="28"/>
          <w:szCs w:val="28"/>
          <w:highlight w:val="white"/>
        </w:rPr>
      </w:pPr>
    </w:p>
    <w:p w:rsidR="005043B5" w:rsidRDefault="005043B5">
      <w:pPr>
        <w:spacing w:line="240" w:lineRule="exact"/>
        <w:jc w:val="both"/>
        <w:rPr>
          <w:sz w:val="28"/>
          <w:szCs w:val="28"/>
          <w:highlight w:val="white"/>
        </w:rPr>
      </w:pPr>
    </w:p>
    <w:p w:rsidR="005043B5" w:rsidRDefault="005043B5">
      <w:pPr>
        <w:spacing w:line="240" w:lineRule="exact"/>
        <w:jc w:val="both"/>
        <w:rPr>
          <w:sz w:val="28"/>
          <w:szCs w:val="28"/>
          <w:highlight w:val="white"/>
        </w:rPr>
      </w:pPr>
    </w:p>
    <w:p w:rsidR="005043B5" w:rsidRDefault="000137A6">
      <w:pPr>
        <w:pStyle w:val="af9"/>
        <w:ind w:right="0" w:firstLine="720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22 июля 2008 г. № 123-ФЗ «Технический регламент о требованиях пожарной безопасности», Уставом города Перми, решением Пермской городской Думы от 28 августа 2007 г. № 185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br/>
        <w:t>«Об утверждении Положения о бюджете и бюджетном процессе в городе Перми»</w:t>
      </w:r>
    </w:p>
    <w:p w:rsidR="005043B5" w:rsidRDefault="000137A6">
      <w:pPr>
        <w:pStyle w:val="af9"/>
        <w:ind w:right="0"/>
        <w:jc w:val="both"/>
        <w:rPr>
          <w:rFonts w:ascii="Times New Roman" w:hAnsi="Times New Roman"/>
          <w:caps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администрация города Перми </w:t>
      </w:r>
      <w:r>
        <w:rPr>
          <w:rFonts w:ascii="Times New Roman" w:hAnsi="Times New Roman"/>
          <w:caps/>
          <w:sz w:val="28"/>
          <w:szCs w:val="28"/>
          <w:highlight w:val="white"/>
          <w:lang w:val="ru-RU"/>
        </w:rPr>
        <w:t>постановляет:</w:t>
      </w:r>
    </w:p>
    <w:p w:rsidR="005043B5" w:rsidRDefault="000137A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изменения в нормативные затраты на содержание и текущий ремонт бесхозяйных и муниципальных источников противопожарного водоснабжения (пожарных водоемов, резервуаров, емкостей) и содержание муниципальных пожарных пирсов, утвержденные </w:t>
      </w:r>
      <w:hyperlink r:id="rId14" w:tooltip="consultantplus://offline/ref=247344958BED9655C69A8AFFCEB2E2BE6D7653F55F13BEE0ADE5B58A4EDF1E1080B97892461D6D53C19B5ACCFEA198746165F7L" w:history="1">
        <w:r>
          <w:rPr>
            <w:sz w:val="28"/>
            <w:szCs w:val="28"/>
            <w:highlight w:val="white"/>
          </w:rPr>
          <w:t>постановление</w:t>
        </w:r>
      </w:hyperlink>
      <w:r>
        <w:rPr>
          <w:sz w:val="28"/>
          <w:szCs w:val="28"/>
          <w:highlight w:val="white"/>
        </w:rPr>
        <w:t xml:space="preserve">м администрации города Перми </w:t>
      </w:r>
      <w:r>
        <w:rPr>
          <w:sz w:val="28"/>
          <w:szCs w:val="28"/>
          <w:highlight w:val="white"/>
        </w:rPr>
        <w:br/>
        <w:t xml:space="preserve">от 30 декабря 2013 г. № 1254 (в ред. от 24.02.2016 № 124, от 27.10.2016 № 965, </w:t>
      </w:r>
      <w:r>
        <w:rPr>
          <w:sz w:val="28"/>
          <w:szCs w:val="28"/>
          <w:highlight w:val="white"/>
        </w:rPr>
        <w:br/>
        <w:t xml:space="preserve">от 11.05.2017 № 346, от 25.09.2017 № 762, от 24.09.2018 № 630, от 17.10.2019 </w:t>
      </w:r>
      <w:r>
        <w:rPr>
          <w:sz w:val="28"/>
          <w:szCs w:val="28"/>
          <w:highlight w:val="white"/>
        </w:rPr>
        <w:br/>
        <w:t xml:space="preserve">№ 714, от 28.09.2020 № 898, от 08.10.2021 № 836, от 16.09.2022 № 814, </w:t>
      </w:r>
      <w:r>
        <w:rPr>
          <w:sz w:val="28"/>
          <w:szCs w:val="28"/>
          <w:highlight w:val="white"/>
        </w:rPr>
        <w:br/>
        <w:t>от 20.06.2023 № 508, от 13.10.2024 № 1045), изложив в редакции согласно приложению к настоящему постановлению.</w:t>
      </w:r>
    </w:p>
    <w:p w:rsidR="005043B5" w:rsidRDefault="000137A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с 01 января 2025 г., но не ранее дня официального обнародования </w:t>
      </w:r>
      <w:r w:rsidR="009E2D3C">
        <w:rPr>
          <w:sz w:val="28"/>
          <w:szCs w:val="28"/>
          <w:highlight w:val="white"/>
        </w:rPr>
        <w:t xml:space="preserve">посредством официального опубликования </w:t>
      </w:r>
      <w:r>
        <w:rPr>
          <w:sz w:val="28"/>
          <w:szCs w:val="28"/>
          <w:highlight w:val="white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43B5" w:rsidRDefault="000137A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43B5" w:rsidRDefault="000137A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5043B5" w:rsidRDefault="000137A6"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 w:rsidR="004D378A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на</w:t>
      </w:r>
      <w:r>
        <w:rPr>
          <w:sz w:val="28"/>
          <w:highlight w:val="white"/>
        </w:rPr>
        <w:t xml:space="preserve"> заместителя главы администрации города Перми Турова А.М.</w:t>
      </w:r>
    </w:p>
    <w:p w:rsidR="005043B5" w:rsidRDefault="005043B5" w:rsidP="004D378A">
      <w:pPr>
        <w:jc w:val="both"/>
        <w:rPr>
          <w:sz w:val="28"/>
          <w:szCs w:val="28"/>
          <w:highlight w:val="white"/>
        </w:rPr>
      </w:pPr>
    </w:p>
    <w:p w:rsidR="005043B5" w:rsidRDefault="005043B5">
      <w:pPr>
        <w:spacing w:line="240" w:lineRule="exact"/>
        <w:jc w:val="both"/>
        <w:rPr>
          <w:sz w:val="28"/>
          <w:szCs w:val="28"/>
          <w:highlight w:val="white"/>
        </w:rPr>
      </w:pPr>
    </w:p>
    <w:p w:rsidR="005043B5" w:rsidRDefault="005043B5">
      <w:pPr>
        <w:spacing w:line="240" w:lineRule="exact"/>
        <w:jc w:val="both"/>
        <w:rPr>
          <w:sz w:val="28"/>
          <w:szCs w:val="28"/>
          <w:highlight w:val="white"/>
        </w:rPr>
      </w:pPr>
    </w:p>
    <w:p w:rsidR="005043B5" w:rsidRDefault="000137A6">
      <w:pPr>
        <w:pStyle w:val="af9"/>
        <w:tabs>
          <w:tab w:val="left" w:pos="8080"/>
        </w:tabs>
        <w:spacing w:line="283" w:lineRule="exact"/>
        <w:ind w:right="0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Глава города Перми  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ab/>
        <w:t xml:space="preserve">    Э.О. Соснин</w:t>
      </w:r>
    </w:p>
    <w:p w:rsidR="005043B5" w:rsidRDefault="005043B5">
      <w:pPr>
        <w:pStyle w:val="af9"/>
        <w:spacing w:line="283" w:lineRule="exact"/>
        <w:rPr>
          <w:highlight w:val="white"/>
          <w:lang w:val="ru-RU"/>
        </w:rPr>
        <w:sectPr w:rsidR="005043B5">
          <w:headerReference w:type="default" r:id="rId15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043B5" w:rsidRDefault="000137A6">
      <w:pPr>
        <w:pStyle w:val="af9"/>
        <w:spacing w:line="240" w:lineRule="exact"/>
        <w:ind w:left="9639" w:right="0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lastRenderedPageBreak/>
        <w:t>Приложение</w:t>
      </w:r>
      <w:r w:rsidR="004D378A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</w:p>
    <w:p w:rsidR="005043B5" w:rsidRDefault="000137A6">
      <w:pPr>
        <w:pStyle w:val="af9"/>
        <w:spacing w:line="240" w:lineRule="exact"/>
        <w:ind w:left="9639" w:right="0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к постановлению администрации</w:t>
      </w:r>
      <w:r w:rsidR="004D378A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</w:p>
    <w:p w:rsidR="005043B5" w:rsidRDefault="000137A6">
      <w:pPr>
        <w:pStyle w:val="af9"/>
        <w:spacing w:line="240" w:lineRule="exact"/>
        <w:ind w:left="9639" w:right="0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города Перми</w:t>
      </w:r>
      <w:r w:rsidR="004D378A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</w:p>
    <w:p w:rsidR="005043B5" w:rsidRDefault="004D378A">
      <w:pPr>
        <w:pStyle w:val="af9"/>
        <w:spacing w:line="240" w:lineRule="exact"/>
        <w:ind w:left="9639" w:right="0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от </w:t>
      </w:r>
      <w:r w:rsidR="00B73124">
        <w:rPr>
          <w:rFonts w:ascii="Times New Roman" w:hAnsi="Times New Roman"/>
          <w:sz w:val="28"/>
          <w:szCs w:val="28"/>
          <w:highlight w:val="white"/>
          <w:lang w:val="ru-RU"/>
        </w:rPr>
        <w:t>25.10.2024 № 1031</w:t>
      </w:r>
    </w:p>
    <w:p w:rsidR="005043B5" w:rsidRDefault="005043B5">
      <w:pPr>
        <w:pStyle w:val="af9"/>
        <w:spacing w:line="240" w:lineRule="exact"/>
        <w:ind w:right="0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:rsidR="005043B5" w:rsidRDefault="005043B5">
      <w:pPr>
        <w:pStyle w:val="af9"/>
        <w:spacing w:line="240" w:lineRule="exact"/>
        <w:ind w:right="0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:rsidR="005043B5" w:rsidRDefault="005043B5">
      <w:pPr>
        <w:pStyle w:val="af9"/>
        <w:spacing w:line="240" w:lineRule="exact"/>
        <w:ind w:right="0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:rsidR="005043B5" w:rsidRDefault="000137A6">
      <w:pPr>
        <w:pStyle w:val="af9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sz w:val="28"/>
          <w:szCs w:val="28"/>
          <w:highlight w:val="white"/>
          <w:lang w:val="ru-RU"/>
        </w:rPr>
        <w:t>НОРМАТИВНЫЕ ЗАТРАТЫ</w:t>
      </w:r>
    </w:p>
    <w:p w:rsidR="005043B5" w:rsidRDefault="000137A6">
      <w:pPr>
        <w:pStyle w:val="af9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sz w:val="28"/>
          <w:szCs w:val="28"/>
          <w:highlight w:val="white"/>
          <w:lang w:val="ru-RU"/>
        </w:rPr>
        <w:t xml:space="preserve">на содержание и текущий ремонт бесхозяйных и муниципальных источников противопожарного водоснабжения (пожарных водоемов, резервуаров, емкостей) и содержание муниципальных пожарных пирсов </w:t>
      </w:r>
    </w:p>
    <w:p w:rsidR="005043B5" w:rsidRDefault="005043B5">
      <w:pPr>
        <w:pStyle w:val="af9"/>
        <w:spacing w:line="240" w:lineRule="exact"/>
        <w:ind w:right="0"/>
        <w:rPr>
          <w:rFonts w:ascii="Times New Roman" w:hAnsi="Times New Roman"/>
          <w:sz w:val="28"/>
          <w:szCs w:val="28"/>
          <w:highlight w:val="white"/>
          <w:lang w:val="ru-RU"/>
        </w:rPr>
      </w:pPr>
    </w:p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1697"/>
        <w:gridCol w:w="1275"/>
        <w:gridCol w:w="1138"/>
        <w:gridCol w:w="1134"/>
        <w:gridCol w:w="1134"/>
        <w:gridCol w:w="850"/>
        <w:gridCol w:w="1134"/>
        <w:gridCol w:w="1559"/>
        <w:gridCol w:w="1559"/>
        <w:gridCol w:w="2551"/>
      </w:tblGrid>
      <w:tr w:rsidR="005043B5">
        <w:trPr>
          <w:trHeight w:val="478"/>
        </w:trPr>
        <w:tc>
          <w:tcPr>
            <w:tcW w:w="770" w:type="dxa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№</w:t>
            </w:r>
          </w:p>
        </w:tc>
        <w:tc>
          <w:tcPr>
            <w:tcW w:w="1697" w:type="dxa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Виды работ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Периодичность проведения работ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по категориям улиц</w:t>
            </w:r>
          </w:p>
        </w:tc>
        <w:tc>
          <w:tcPr>
            <w:tcW w:w="850" w:type="dxa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Ед. изм.</w:t>
            </w:r>
          </w:p>
        </w:tc>
        <w:tc>
          <w:tcPr>
            <w:tcW w:w="4252" w:type="dxa"/>
            <w:gridSpan w:val="3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Нормативные затраты, руб.</w:t>
            </w:r>
          </w:p>
          <w:p w:rsidR="005043B5" w:rsidRDefault="005043B5">
            <w:pPr>
              <w:tabs>
                <w:tab w:val="left" w:pos="1109"/>
              </w:tabs>
              <w:rPr>
                <w:highlight w:val="white"/>
              </w:rPr>
            </w:pPr>
          </w:p>
        </w:tc>
        <w:tc>
          <w:tcPr>
            <w:tcW w:w="2551" w:type="dxa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Обоснование</w:t>
            </w:r>
          </w:p>
        </w:tc>
      </w:tr>
      <w:tr w:rsidR="005043B5">
        <w:tc>
          <w:tcPr>
            <w:tcW w:w="770" w:type="dxa"/>
            <w:vMerge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7" w:type="dxa"/>
            <w:vMerge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  <w:tcMar>
              <w:right w:w="28" w:type="dxa"/>
            </w:tcMar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 категория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категория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4 категория</w:t>
            </w:r>
          </w:p>
        </w:tc>
        <w:tc>
          <w:tcPr>
            <w:tcW w:w="850" w:type="dxa"/>
            <w:vMerge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2025 год</w:t>
            </w:r>
          </w:p>
        </w:tc>
        <w:tc>
          <w:tcPr>
            <w:tcW w:w="1559" w:type="dxa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2026 год</w:t>
            </w:r>
          </w:p>
        </w:tc>
        <w:tc>
          <w:tcPr>
            <w:tcW w:w="1559" w:type="dxa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2027 год</w:t>
            </w:r>
          </w:p>
        </w:tc>
        <w:tc>
          <w:tcPr>
            <w:tcW w:w="2551" w:type="dxa"/>
            <w:vMerge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5043B5" w:rsidRDefault="005043B5">
      <w:pPr>
        <w:rPr>
          <w:sz w:val="2"/>
          <w:szCs w:val="2"/>
          <w:highlight w:val="white"/>
        </w:rPr>
      </w:pPr>
    </w:p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1697"/>
        <w:gridCol w:w="1275"/>
        <w:gridCol w:w="1138"/>
        <w:gridCol w:w="1134"/>
        <w:gridCol w:w="1134"/>
        <w:gridCol w:w="850"/>
        <w:gridCol w:w="1134"/>
        <w:gridCol w:w="1559"/>
        <w:gridCol w:w="1559"/>
        <w:gridCol w:w="2551"/>
      </w:tblGrid>
      <w:tr w:rsidR="005043B5">
        <w:trPr>
          <w:trHeight w:val="36"/>
          <w:tblHeader/>
        </w:trPr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</w:t>
            </w:r>
          </w:p>
        </w:tc>
        <w:tc>
          <w:tcPr>
            <w:tcW w:w="1697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</w:t>
            </w:r>
          </w:p>
        </w:tc>
        <w:tc>
          <w:tcPr>
            <w:tcW w:w="1275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</w:t>
            </w:r>
          </w:p>
        </w:tc>
        <w:tc>
          <w:tcPr>
            <w:tcW w:w="1138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6</w:t>
            </w: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8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10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11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</w:t>
            </w:r>
          </w:p>
        </w:tc>
        <w:tc>
          <w:tcPr>
            <w:tcW w:w="14031" w:type="dxa"/>
            <w:gridSpan w:val="10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Зимнее содержание бесхозяйных и муниципальных источников противопожарного водоснабжения (пожарных водоемов, резервуаров, емкостей)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 муниципальных пожарных пирсов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расширение проезжей части (очистка территории от снега)</w:t>
            </w:r>
          </w:p>
        </w:tc>
        <w:tc>
          <w:tcPr>
            <w:tcW w:w="1275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 мере необходимости (после окончания снегопада – незамедлительно)</w:t>
            </w:r>
          </w:p>
        </w:tc>
        <w:tc>
          <w:tcPr>
            <w:tcW w:w="1138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1 000 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155,58</w:t>
            </w:r>
          </w:p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155,58</w:t>
            </w:r>
          </w:p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155,58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  <w:vertAlign w:val="superscript"/>
              </w:rPr>
            </w:pPr>
            <w:r>
              <w:rPr>
                <w:sz w:val="22"/>
                <w:szCs w:val="22"/>
                <w:highlight w:val="white"/>
              </w:rPr>
              <w:t>калькуляция стоимости выполнения работ по содержанию территорий автомобильных дорог в городе Перми, муниципальное казенное учреждение «Пермблагоустройство» (далее – МКУ «Пермблагоустройство»)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1.2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ручная очистка территории внутри ограждения</w:t>
            </w:r>
          </w:p>
        </w:tc>
        <w:tc>
          <w:tcPr>
            <w:tcW w:w="1275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 мере необходимости (после окончания снегопада – незамедлительно)</w:t>
            </w:r>
          </w:p>
        </w:tc>
        <w:tc>
          <w:tcPr>
            <w:tcW w:w="1138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1 000 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  <w:r w:rsidR="002B0806"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154,52</w:t>
            </w:r>
          </w:p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  <w:r w:rsidR="002B0806"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154,52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  <w:r w:rsidR="002B0806"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154,52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калькуляция стоимости выполнения работ по содержанию территорий автомобильных дорог в городе Перми, МКУ «Пермблагоустройство»</w:t>
            </w:r>
          </w:p>
        </w:tc>
      </w:tr>
      <w:tr w:rsidR="005043B5">
        <w:trPr>
          <w:trHeight w:val="36"/>
        </w:trPr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lastRenderedPageBreak/>
              <w:t>1.3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удаление наката, очистка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от наледи</w:t>
            </w:r>
          </w:p>
        </w:tc>
        <w:tc>
          <w:tcPr>
            <w:tcW w:w="1275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 мере необходимости</w:t>
            </w:r>
          </w:p>
        </w:tc>
        <w:tc>
          <w:tcPr>
            <w:tcW w:w="1138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</w:t>
            </w: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1 000 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485,29</w:t>
            </w:r>
          </w:p>
          <w:p w:rsidR="005043B5" w:rsidRDefault="005043B5">
            <w:pPr>
              <w:rPr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485,298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485,29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калькуляция стоимости выполнения работ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по содержанию территорий автомобильных дорог в городе Перми, МКУ «Пермблагоустройство»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1.4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обработка территории противогололедными материалами</w:t>
            </w:r>
          </w:p>
        </w:tc>
        <w:tc>
          <w:tcPr>
            <w:tcW w:w="1275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 мере необходимости</w:t>
            </w:r>
          </w:p>
        </w:tc>
        <w:tc>
          <w:tcPr>
            <w:tcW w:w="1138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1 000 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248,98</w:t>
            </w:r>
          </w:p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248,9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248,9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калькуляция стоимости выполнения работ по содержанию территорий автомобильных дорог в городе Перми, МКУ «Пермблагоустройство»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1.5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транспортировка воды и заполнение водой</w:t>
            </w:r>
          </w:p>
        </w:tc>
        <w:tc>
          <w:tcPr>
            <w:tcW w:w="4681" w:type="dxa"/>
            <w:gridSpan w:val="4"/>
            <w:vMerge w:val="restart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в течение 36-48 часов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(после использования)</w:t>
            </w: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куб. 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370,99</w:t>
            </w:r>
          </w:p>
          <w:p w:rsidR="005043B5" w:rsidRDefault="005043B5">
            <w:pPr>
              <w:jc w:val="center"/>
              <w:rPr>
                <w:highlight w:val="white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370,99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370,99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1.5.1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стоимость воды (материал)</w:t>
            </w:r>
          </w:p>
        </w:tc>
        <w:tc>
          <w:tcPr>
            <w:tcW w:w="1275" w:type="dxa"/>
            <w:vMerge w:val="restart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куб.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36,49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36,49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36,49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Федеральный сборник сметных цен (далее – ФССЦ) -411-0001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1.6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очистка резервуара от мусора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год</w:t>
            </w: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100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1 588,24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1 588,24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1 588,24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Типовые нормы времени 87 (пункты 1.2.9, 15)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</w:t>
            </w:r>
          </w:p>
        </w:tc>
        <w:tc>
          <w:tcPr>
            <w:tcW w:w="14031" w:type="dxa"/>
            <w:gridSpan w:val="10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Летнее содержание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бесхозяйных и муниципальных источников противопожарного водоснабжения (пожарных водоемов, резервуаров, емкостей)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 муниципальных пожарных пирсов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уборка проезжей части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от крупного мусора</w:t>
            </w:r>
          </w:p>
        </w:tc>
        <w:tc>
          <w:tcPr>
            <w:tcW w:w="1275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 мере необходимости</w:t>
            </w:r>
          </w:p>
        </w:tc>
        <w:tc>
          <w:tcPr>
            <w:tcW w:w="1138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1 000 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33,46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33,46</w:t>
            </w:r>
          </w:p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33,46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калькуляция стоимости выполнения работ по содержанию территорий автомобильных дорог в городе Перми, МКУ «Пермблагоустройство»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уборка поросли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раз в сезон</w:t>
            </w: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 </w:t>
            </w:r>
          </w:p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3 764,67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3 764,67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3 764,67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локальный сметный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2.3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кошение травы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 мере необходимости</w:t>
            </w:r>
          </w:p>
          <w:p w:rsidR="005043B5" w:rsidRDefault="005043B5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 </w:t>
            </w:r>
          </w:p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1 073,88</w:t>
            </w:r>
          </w:p>
          <w:p w:rsidR="005043B5" w:rsidRDefault="005043B5">
            <w:pPr>
              <w:rPr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1 073,88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1 073,88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локальный сметный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2.4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талона-пропуска на свалку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согласно тарифу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согласно тарифу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согласно тарифу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письмо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lastRenderedPageBreak/>
              <w:t>2.5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погрузка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и вывоз мусора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на расстояние: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 факту</w:t>
            </w:r>
          </w:p>
          <w:p w:rsidR="005043B5" w:rsidRDefault="005043B5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551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407,63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407,63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407,63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ФССЦпг03-21-01-019,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432,55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432,55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432,55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ФССЦпг03-21-01-22,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2.5.3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457,47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457,47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457,47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ФССЦпг03-21-01-025,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2.5.4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474,16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474,16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474,16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ФССЦпг03-21-01-027,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2.5.5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482,42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482,42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482,42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ФССЦпг03-21-01-028,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2.5.6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490,64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490,64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490,64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ФССЦпг03-21-01-029,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2.5.7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499,08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499,08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499,08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ФССЦпг03-21-01-030,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2.5.8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31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507,32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507,32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507,32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ФССЦпг03-21-01-031,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2.5.9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33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524,02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524,02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524,02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ФССЦпг03-21-01-033,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2.5.10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35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540,70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540,70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540,70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ФССЦпг03-21-01-035,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2.5.11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548,94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548,94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548,94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ФССЦпг03-21-01-036,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2.5.12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37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557,18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557,18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557,18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ФССЦпг03-21-01-037,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2.5.13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565,62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565,62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565,62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ФССЦпг03-21-01-038,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2.5.14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590,56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590,56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590,56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ФССЦпг03-21-01-041,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2.5.15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560,13</w:t>
            </w:r>
          </w:p>
          <w:p w:rsidR="005043B5" w:rsidRDefault="005043B5">
            <w:pPr>
              <w:jc w:val="center"/>
              <w:rPr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560,13</w:t>
            </w:r>
          </w:p>
          <w:p w:rsidR="005043B5" w:rsidRDefault="005043B5">
            <w:pPr>
              <w:jc w:val="center"/>
              <w:rPr>
                <w:highlight w:val="white"/>
              </w:rPr>
            </w:pP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560,13</w:t>
            </w:r>
          </w:p>
          <w:p w:rsidR="005043B5" w:rsidRDefault="005043B5">
            <w:pPr>
              <w:jc w:val="center"/>
              <w:rPr>
                <w:highlight w:val="white"/>
              </w:rPr>
            </w:pP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ФССЦпг03-21-01-050,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2.5.16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 км</w:t>
            </w:r>
          </w:p>
        </w:tc>
        <w:tc>
          <w:tcPr>
            <w:tcW w:w="1275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682,01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682,01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682,01</w:t>
            </w:r>
          </w:p>
        </w:tc>
        <w:tc>
          <w:tcPr>
            <w:tcW w:w="2551" w:type="dxa"/>
          </w:tcPr>
          <w:p w:rsidR="005043B5" w:rsidRDefault="000137A6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ФССЦпг03-21-01-052, ФССЦпг01-01-01-043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lastRenderedPageBreak/>
              <w:t>2.6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покрытие пирамид краской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год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182,45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182,45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182,45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2.7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устройство подстилающих и выравнивающих слоев оснований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из щебня (марка 800, фракция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20-40 мм)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2 года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куб.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3 877,20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3 877,20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3 877,20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2.8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транспортировка воды и заполнение водой</w:t>
            </w:r>
          </w:p>
        </w:tc>
        <w:tc>
          <w:tcPr>
            <w:tcW w:w="4681" w:type="dxa"/>
            <w:gridSpan w:val="4"/>
            <w:vMerge w:val="restart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в течение 36-48 часов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(после использования)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куб.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370,99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370,99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370,99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2.8.1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стоимость воды (материал)</w:t>
            </w:r>
          </w:p>
        </w:tc>
        <w:tc>
          <w:tcPr>
            <w:tcW w:w="1275" w:type="dxa"/>
            <w:vMerge w:val="restart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36,49</w:t>
            </w: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36,49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36,49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37,99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39,51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2.9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очистка резервуара от мусора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по мере необходимости</w:t>
            </w: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100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1 588,24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1 588,24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1 588,24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2.10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обрезка ветвей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год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дерево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3 793,12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3 793,12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3 793,12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калькуляция стоимости выполнения работ по содержанию территорий автомобильных дорог в городе Перми, департамент дорог и благоустройства администрации города Перми</w:t>
            </w:r>
          </w:p>
        </w:tc>
      </w:tr>
      <w:tr w:rsidR="005043B5">
        <w:tc>
          <w:tcPr>
            <w:tcW w:w="770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2.11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ликвидация аварийных (упавших) деревьев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по мере необходимости</w:t>
            </w: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дерево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12 170,87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12 170,87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12 170,87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калькуляция стоимости выполнения работ по содержанию территорий автомобильных дорог в городе Перми, департамент дорог и благоустройства администрации города Перми</w:t>
            </w:r>
          </w:p>
        </w:tc>
      </w:tr>
      <w:tr w:rsidR="005043B5">
        <w:tc>
          <w:tcPr>
            <w:tcW w:w="770" w:type="dxa"/>
            <w:tcBorders>
              <w:top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</w:t>
            </w:r>
          </w:p>
        </w:tc>
        <w:tc>
          <w:tcPr>
            <w:tcW w:w="14031" w:type="dxa"/>
            <w:gridSpan w:val="10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Текущий ремонт бесхозяйных и муниципальных источников противопожарного водоснабжения (пожарных водоемов, резервуаров, емкостей)</w:t>
            </w:r>
          </w:p>
        </w:tc>
      </w:tr>
      <w:tr w:rsidR="005043B5">
        <w:tc>
          <w:tcPr>
            <w:tcW w:w="770" w:type="dxa"/>
            <w:tcBorders>
              <w:top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поддержание ограждения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в нормативном состоянии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восстановление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по мере необходимости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2551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поддержание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в нормативном состоянии ограждения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из сетки-рабицы:</w:t>
            </w: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2551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3.1.1.1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установка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 (или) восстановление целостности ограждения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2 года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п.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3 541,74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3 541,74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3 541,74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3.1.1.2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покрытие масляной краской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год</w:t>
            </w: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178,79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178,79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178,79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поддержание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в нормативном состоянии ограждения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из металлического профлиста:</w:t>
            </w: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2551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3.1.2.1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установка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 (или) восстановление целостности ограждения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2 года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п.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337,76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337,76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337,76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3.1.2.2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покрытие масляной краской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год</w:t>
            </w: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193,83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193,83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193,83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3.1.3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поддержание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в нормативном состоянии ограждения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из дерева:</w:t>
            </w: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2551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</w:tr>
      <w:tr w:rsidR="005043B5">
        <w:tc>
          <w:tcPr>
            <w:tcW w:w="770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3.1.3.1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установка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и (или) восстановление целостности ограждения</w:t>
            </w:r>
          </w:p>
        </w:tc>
        <w:tc>
          <w:tcPr>
            <w:tcW w:w="4681" w:type="dxa"/>
            <w:gridSpan w:val="4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2 года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кв. 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2 254,67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2 254,67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2 254,67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3.1.3.2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покрытие масляной краской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1 раз в год</w:t>
            </w:r>
          </w:p>
          <w:p w:rsidR="005043B5" w:rsidRDefault="005043B5">
            <w:pPr>
              <w:pStyle w:val="af9"/>
              <w:ind w:right="0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392,67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392,67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392,67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  <w:tcBorders>
              <w:top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3.2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утепление оголовков пожарных водоемов (текущий ремонт)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1 раз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в год (восстановление по мере необходимости)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9 978,02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9 978,02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9 978,02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3.3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обустройство незамерзающей проруби: устройство короба, устройство опалубки (снизу) и поддерживающих ее конструкций для высоких ростверков; изоляция изделиями из пенопласта насухо холодных поверхностей покрытий и перекрытий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по сезону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кв.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4 066,62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4 066,62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4 066,62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3.4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установка металлических знаков пожарной безопасности</w:t>
            </w:r>
          </w:p>
        </w:tc>
        <w:tc>
          <w:tcPr>
            <w:tcW w:w="4681" w:type="dxa"/>
            <w:gridSpan w:val="4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1 раз в год (восстановление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по мере необходимости)</w:t>
            </w: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559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2551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3.4.1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приобретение знака пожарной безопасности – указателя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«Пожарный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водоисточник» </w:t>
            </w:r>
            <w:r>
              <w:rPr>
                <w:sz w:val="22"/>
                <w:szCs w:val="22"/>
                <w:highlight w:val="white"/>
                <w:lang w:val="en-US"/>
              </w:rPr>
              <w:t>F</w:t>
            </w:r>
            <w:r>
              <w:rPr>
                <w:sz w:val="22"/>
                <w:szCs w:val="22"/>
                <w:highlight w:val="white"/>
              </w:rPr>
              <w:t xml:space="preserve">07 (металл,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>300 х 300 мм)</w:t>
            </w: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620,47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620,47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620,47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текущая цена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3.4.2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приобретение знака пожарной безопасности – указателя «Пожарный водоисточник» </w:t>
            </w:r>
            <w:r>
              <w:rPr>
                <w:sz w:val="22"/>
                <w:szCs w:val="22"/>
                <w:highlight w:val="white"/>
                <w:lang w:val="en-US"/>
              </w:rPr>
              <w:t>F</w:t>
            </w:r>
            <w:r>
              <w:rPr>
                <w:sz w:val="22"/>
                <w:szCs w:val="22"/>
                <w:highlight w:val="white"/>
              </w:rPr>
              <w:t xml:space="preserve">07 (металл, </w:t>
            </w:r>
            <w:r>
              <w:rPr>
                <w:sz w:val="22"/>
                <w:szCs w:val="22"/>
                <w:highlight w:val="white"/>
              </w:rPr>
              <w:br w:type="textWrapping" w:clear="all"/>
              <w:t xml:space="preserve">200 </w:t>
            </w:r>
            <w:r>
              <w:rPr>
                <w:sz w:val="22"/>
                <w:szCs w:val="22"/>
                <w:highlight w:val="white"/>
                <w:lang w:val="en-US"/>
              </w:rPr>
              <w:t>x</w:t>
            </w:r>
            <w:r>
              <w:rPr>
                <w:sz w:val="22"/>
                <w:szCs w:val="22"/>
                <w:highlight w:val="white"/>
              </w:rPr>
              <w:t xml:space="preserve"> 200 мм)</w:t>
            </w: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м</w:t>
            </w:r>
          </w:p>
        </w:tc>
        <w:tc>
          <w:tcPr>
            <w:tcW w:w="1134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275,93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275,93</w:t>
            </w:r>
          </w:p>
        </w:tc>
        <w:tc>
          <w:tcPr>
            <w:tcW w:w="1559" w:type="dxa"/>
          </w:tcPr>
          <w:p w:rsidR="005043B5" w:rsidRDefault="000137A6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275,93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текущая цена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3.4.3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установка трубы (</w:t>
            </w:r>
            <w:r>
              <w:rPr>
                <w:sz w:val="22"/>
                <w:szCs w:val="22"/>
                <w:highlight w:val="white"/>
                <w:lang w:val="en-US"/>
              </w:rPr>
              <w:t>d</w:t>
            </w:r>
            <w:r>
              <w:rPr>
                <w:sz w:val="22"/>
                <w:szCs w:val="22"/>
                <w:highlight w:val="white"/>
              </w:rPr>
              <w:t xml:space="preserve"> = 40)</w:t>
            </w: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п. м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876,07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876,07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876,07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ФССЦ-103-2122</w:t>
            </w:r>
          </w:p>
        </w:tc>
      </w:tr>
      <w:tr w:rsidR="005043B5">
        <w:tc>
          <w:tcPr>
            <w:tcW w:w="77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3.4.4</w:t>
            </w:r>
          </w:p>
        </w:tc>
        <w:tc>
          <w:tcPr>
            <w:tcW w:w="1697" w:type="dxa"/>
          </w:tcPr>
          <w:p w:rsidR="005043B5" w:rsidRDefault="000137A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бетонирование 0,5 х 0,5 х 0,5 (бетон тяжелый, крупность заполнителя более 40 мм, класс В7,5 (М 100)</w:t>
            </w:r>
          </w:p>
        </w:tc>
        <w:tc>
          <w:tcPr>
            <w:tcW w:w="1275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8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1134" w:type="dxa"/>
          </w:tcPr>
          <w:p w:rsidR="005043B5" w:rsidRDefault="005043B5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850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шт.</w:t>
            </w:r>
          </w:p>
        </w:tc>
        <w:tc>
          <w:tcPr>
            <w:tcW w:w="1134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2 271,58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2 271,58</w:t>
            </w:r>
          </w:p>
        </w:tc>
        <w:tc>
          <w:tcPr>
            <w:tcW w:w="1559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>2 271,58</w:t>
            </w:r>
          </w:p>
        </w:tc>
        <w:tc>
          <w:tcPr>
            <w:tcW w:w="2551" w:type="dxa"/>
          </w:tcPr>
          <w:p w:rsidR="005043B5" w:rsidRDefault="000137A6">
            <w:pPr>
              <w:pStyle w:val="af9"/>
              <w:ind w:right="0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t xml:space="preserve">локальный сметный </w:t>
            </w:r>
            <w:r>
              <w:rPr>
                <w:rFonts w:ascii="Times New Roman" w:hAnsi="Times New Roman"/>
                <w:sz w:val="22"/>
                <w:szCs w:val="22"/>
                <w:highlight w:val="white"/>
                <w:lang w:val="ru-RU" w:eastAsia="ru-RU"/>
              </w:rPr>
              <w:br w:type="textWrapping" w:clear="all"/>
              <w:t>расчет</w:t>
            </w:r>
          </w:p>
        </w:tc>
      </w:tr>
    </w:tbl>
    <w:p w:rsidR="005043B5" w:rsidRDefault="005043B5">
      <w:pPr>
        <w:rPr>
          <w:highlight w:val="white"/>
        </w:rPr>
      </w:pPr>
    </w:p>
    <w:sectPr w:rsidR="005043B5">
      <w:headerReference w:type="even" r:id="rId16"/>
      <w:headerReference w:type="default" r:id="rId17"/>
      <w:headerReference w:type="first" r:id="rId18"/>
      <w:pgSz w:w="16820" w:h="11900" w:orient="landscape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02" w:rsidRDefault="00EC0902">
      <w:r>
        <w:separator/>
      </w:r>
    </w:p>
  </w:endnote>
  <w:endnote w:type="continuationSeparator" w:id="0">
    <w:p w:rsidR="00EC0902" w:rsidRDefault="00EC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02" w:rsidRDefault="00EC0902">
      <w:r>
        <w:separator/>
      </w:r>
    </w:p>
  </w:footnote>
  <w:footnote w:type="continuationSeparator" w:id="0">
    <w:p w:rsidR="00EC0902" w:rsidRDefault="00EC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5" w:rsidRDefault="000137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6219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5" w:rsidRDefault="000137A6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043B5" w:rsidRDefault="005043B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5" w:rsidRDefault="000137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62197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5043B5" w:rsidRDefault="005043B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5" w:rsidRDefault="005043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A5D54"/>
    <w:multiLevelType w:val="multilevel"/>
    <w:tmpl w:val="38324DC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" w15:restartNumberingAfterBreak="0">
    <w:nsid w:val="57633E11"/>
    <w:multiLevelType w:val="hybridMultilevel"/>
    <w:tmpl w:val="8B024276"/>
    <w:lvl w:ilvl="0" w:tplc="3CCA74FA">
      <w:start w:val="1"/>
      <w:numFmt w:val="decimal"/>
      <w:lvlText w:val="%1."/>
      <w:lvlJc w:val="left"/>
      <w:pPr>
        <w:ind w:left="1800" w:hanging="1080"/>
      </w:pPr>
    </w:lvl>
    <w:lvl w:ilvl="1" w:tplc="1C9E3134">
      <w:start w:val="1"/>
      <w:numFmt w:val="lowerLetter"/>
      <w:lvlText w:val="%2."/>
      <w:lvlJc w:val="left"/>
      <w:pPr>
        <w:ind w:left="1800" w:hanging="360"/>
      </w:pPr>
    </w:lvl>
    <w:lvl w:ilvl="2" w:tplc="E5D855FA">
      <w:start w:val="1"/>
      <w:numFmt w:val="lowerRoman"/>
      <w:lvlText w:val="%3."/>
      <w:lvlJc w:val="right"/>
      <w:pPr>
        <w:ind w:left="2520" w:hanging="180"/>
      </w:pPr>
    </w:lvl>
    <w:lvl w:ilvl="3" w:tplc="EFC630E2">
      <w:start w:val="1"/>
      <w:numFmt w:val="decimal"/>
      <w:lvlText w:val="%4."/>
      <w:lvlJc w:val="left"/>
      <w:pPr>
        <w:ind w:left="3240" w:hanging="360"/>
      </w:pPr>
    </w:lvl>
    <w:lvl w:ilvl="4" w:tplc="BC9E6A3A">
      <w:start w:val="1"/>
      <w:numFmt w:val="lowerLetter"/>
      <w:lvlText w:val="%5."/>
      <w:lvlJc w:val="left"/>
      <w:pPr>
        <w:ind w:left="3960" w:hanging="360"/>
      </w:pPr>
    </w:lvl>
    <w:lvl w:ilvl="5" w:tplc="D3002DAE">
      <w:start w:val="1"/>
      <w:numFmt w:val="lowerRoman"/>
      <w:lvlText w:val="%6."/>
      <w:lvlJc w:val="right"/>
      <w:pPr>
        <w:ind w:left="4680" w:hanging="180"/>
      </w:pPr>
    </w:lvl>
    <w:lvl w:ilvl="6" w:tplc="D95C3AD8">
      <w:start w:val="1"/>
      <w:numFmt w:val="decimal"/>
      <w:lvlText w:val="%7."/>
      <w:lvlJc w:val="left"/>
      <w:pPr>
        <w:ind w:left="5400" w:hanging="360"/>
      </w:pPr>
    </w:lvl>
    <w:lvl w:ilvl="7" w:tplc="EF4CCBF6">
      <w:start w:val="1"/>
      <w:numFmt w:val="lowerLetter"/>
      <w:lvlText w:val="%8."/>
      <w:lvlJc w:val="left"/>
      <w:pPr>
        <w:ind w:left="6120" w:hanging="360"/>
      </w:pPr>
    </w:lvl>
    <w:lvl w:ilvl="8" w:tplc="53541A5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E2B3B"/>
    <w:multiLevelType w:val="hybridMultilevel"/>
    <w:tmpl w:val="60203696"/>
    <w:lvl w:ilvl="0" w:tplc="A3F0B55C">
      <w:start w:val="1"/>
      <w:numFmt w:val="decimal"/>
      <w:lvlText w:val="%1."/>
      <w:lvlJc w:val="left"/>
      <w:pPr>
        <w:ind w:left="1080" w:hanging="360"/>
      </w:pPr>
    </w:lvl>
    <w:lvl w:ilvl="1" w:tplc="21AADEA8">
      <w:start w:val="1"/>
      <w:numFmt w:val="lowerLetter"/>
      <w:lvlText w:val="%2."/>
      <w:lvlJc w:val="left"/>
      <w:pPr>
        <w:ind w:left="1800" w:hanging="360"/>
      </w:pPr>
    </w:lvl>
    <w:lvl w:ilvl="2" w:tplc="79A8B524">
      <w:start w:val="1"/>
      <w:numFmt w:val="lowerRoman"/>
      <w:lvlText w:val="%3."/>
      <w:lvlJc w:val="right"/>
      <w:pPr>
        <w:ind w:left="2520" w:hanging="180"/>
      </w:pPr>
    </w:lvl>
    <w:lvl w:ilvl="3" w:tplc="96805B8C">
      <w:start w:val="1"/>
      <w:numFmt w:val="decimal"/>
      <w:lvlText w:val="%4."/>
      <w:lvlJc w:val="left"/>
      <w:pPr>
        <w:ind w:left="3240" w:hanging="360"/>
      </w:pPr>
    </w:lvl>
    <w:lvl w:ilvl="4" w:tplc="9CF043C0">
      <w:start w:val="1"/>
      <w:numFmt w:val="lowerLetter"/>
      <w:lvlText w:val="%5."/>
      <w:lvlJc w:val="left"/>
      <w:pPr>
        <w:ind w:left="3960" w:hanging="360"/>
      </w:pPr>
    </w:lvl>
    <w:lvl w:ilvl="5" w:tplc="8E20DC18">
      <w:start w:val="1"/>
      <w:numFmt w:val="lowerRoman"/>
      <w:lvlText w:val="%6."/>
      <w:lvlJc w:val="right"/>
      <w:pPr>
        <w:ind w:left="4680" w:hanging="180"/>
      </w:pPr>
    </w:lvl>
    <w:lvl w:ilvl="6" w:tplc="2058377A">
      <w:start w:val="1"/>
      <w:numFmt w:val="decimal"/>
      <w:lvlText w:val="%7."/>
      <w:lvlJc w:val="left"/>
      <w:pPr>
        <w:ind w:left="5400" w:hanging="360"/>
      </w:pPr>
    </w:lvl>
    <w:lvl w:ilvl="7" w:tplc="91CE04AC">
      <w:start w:val="1"/>
      <w:numFmt w:val="lowerLetter"/>
      <w:lvlText w:val="%8."/>
      <w:lvlJc w:val="left"/>
      <w:pPr>
        <w:ind w:left="6120" w:hanging="360"/>
      </w:pPr>
    </w:lvl>
    <w:lvl w:ilvl="8" w:tplc="B606A1C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5"/>
    <w:rsid w:val="000137A6"/>
    <w:rsid w:val="001A2E56"/>
    <w:rsid w:val="002B0806"/>
    <w:rsid w:val="004D378A"/>
    <w:rsid w:val="005043B5"/>
    <w:rsid w:val="00721B84"/>
    <w:rsid w:val="007B16B2"/>
    <w:rsid w:val="008A51C9"/>
    <w:rsid w:val="009067EF"/>
    <w:rsid w:val="009E2D3C"/>
    <w:rsid w:val="00B73124"/>
    <w:rsid w:val="00B9516A"/>
    <w:rsid w:val="00BA4357"/>
    <w:rsid w:val="00DB416E"/>
    <w:rsid w:val="00EC0902"/>
    <w:rsid w:val="00F6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2269-FC9E-465C-B9A6-FD532457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table" w:styleId="af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Header1">
    <w:name w:val="Header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</w:style>
  <w:style w:type="paragraph" w:customStyle="1" w:styleId="Footer1">
    <w:name w:val="Footer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</w:style>
  <w:style w:type="table" w:customStyle="1" w:styleId="TableGridLight">
    <w:name w:val="Table Grid Light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Plain Table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4">
    <w:name w:val="Plain Table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2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paragraph" w:styleId="af9">
    <w:name w:val="Body Text"/>
    <w:basedOn w:val="a"/>
    <w:link w:val="afa"/>
    <w:pPr>
      <w:ind w:right="3117"/>
    </w:pPr>
    <w:rPr>
      <w:rFonts w:ascii="Courier New" w:hAnsi="Courier New"/>
      <w:sz w:val="26"/>
      <w:lang w:val="en-US" w:eastAsia="en-US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  <w:lang w:eastAsia="ru-RU"/>
    </w:rPr>
  </w:style>
  <w:style w:type="character" w:customStyle="1" w:styleId="aff0">
    <w:name w:val="Подпись Знак"/>
    <w:link w:val="aff1"/>
    <w:rPr>
      <w:sz w:val="28"/>
    </w:rPr>
  </w:style>
  <w:style w:type="paragraph" w:styleId="aff1">
    <w:name w:val="Signature"/>
    <w:basedOn w:val="a"/>
    <w:next w:val="af9"/>
    <w:link w:val="aff0"/>
    <w:pPr>
      <w:tabs>
        <w:tab w:val="left" w:pos="5103"/>
        <w:tab w:val="right" w:pos="9639"/>
      </w:tabs>
      <w:spacing w:before="480" w:line="240" w:lineRule="exact"/>
    </w:pPr>
    <w:rPr>
      <w:sz w:val="28"/>
      <w:lang w:val="en-US" w:eastAsia="en-US"/>
    </w:rPr>
  </w:style>
  <w:style w:type="character" w:customStyle="1" w:styleId="afa">
    <w:name w:val="Основной текст Знак"/>
    <w:link w:val="af9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247344958BED9655C69A8AFFCEB2E2BE6D7653F55F13BEE0ADE5B58A4EDF1E1080B97892461D6D53C19B5ACCFEA198746165F7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3</cp:revision>
  <cp:lastPrinted>2024-10-25T07:26:00Z</cp:lastPrinted>
  <dcterms:created xsi:type="dcterms:W3CDTF">2024-10-25T07:27:00Z</dcterms:created>
  <dcterms:modified xsi:type="dcterms:W3CDTF">2024-10-25T07:28:00Z</dcterms:modified>
  <cp:version>786432</cp:version>
</cp:coreProperties>
</file>