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FC" w:rsidRDefault="0047037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78FC" w:rsidRDefault="00DB472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DB4725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7510" cy="437515"/>
                                    <wp:effectExtent l="0" t="0" r="2540" b="63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7510" cy="437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78FC" w:rsidRDefault="0047037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D78FC" w:rsidRDefault="0047037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D78FC" w:rsidRDefault="00FD78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D78FC" w:rsidRDefault="00FD78FC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78FC" w:rsidRDefault="00B348B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06.11.2024</w:t>
                              </w:r>
                            </w:p>
                            <w:p w:rsidR="00FD78FC" w:rsidRDefault="00FD78FC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78FC" w:rsidRDefault="00B348B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168</w:t>
                              </w:r>
                            </w:p>
                            <w:p w:rsidR="00FD78FC" w:rsidRDefault="00FD78FC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zqQ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D78FC" w:rsidRDefault="00DB472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DB4725">
                          <w:rPr>
                            <w:noProof/>
                          </w:rPr>
                          <w:drawing>
                            <wp:inline distT="0" distB="0" distL="0" distR="0">
                              <wp:extent cx="397510" cy="437515"/>
                              <wp:effectExtent l="0" t="0" r="2540" b="63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7510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78FC" w:rsidRDefault="0047037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D78FC" w:rsidRDefault="0047037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D78FC" w:rsidRDefault="00FD78F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D78FC" w:rsidRDefault="00FD78FC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D78FC" w:rsidRDefault="00B348B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06.11.2024</w:t>
                        </w:r>
                      </w:p>
                      <w:p w:rsidR="00FD78FC" w:rsidRDefault="00FD78FC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D78FC" w:rsidRDefault="00B348B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168</w:t>
                        </w:r>
                      </w:p>
                      <w:p w:rsidR="00FD78FC" w:rsidRDefault="00FD78FC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-572769</wp:posOffset>
            </wp:positionV>
            <wp:extent cx="407035" cy="495300"/>
            <wp:effectExtent l="0" t="0" r="0" b="0"/>
            <wp:wrapNone/>
            <wp:docPr id="6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8FC" w:rsidRDefault="00FD78F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D78FC" w:rsidRDefault="00FD78FC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D78FC" w:rsidRDefault="00FD78FC">
      <w:pPr>
        <w:jc w:val="both"/>
        <w:rPr>
          <w:sz w:val="24"/>
          <w:lang w:val="en-US"/>
        </w:rPr>
      </w:pPr>
    </w:p>
    <w:p w:rsidR="00FD78FC" w:rsidRDefault="00FD78FC">
      <w:pPr>
        <w:jc w:val="both"/>
        <w:rPr>
          <w:sz w:val="24"/>
        </w:rPr>
      </w:pPr>
    </w:p>
    <w:p w:rsidR="00FD78FC" w:rsidRDefault="00FD78FC">
      <w:pPr>
        <w:jc w:val="both"/>
        <w:rPr>
          <w:sz w:val="24"/>
        </w:rPr>
      </w:pPr>
    </w:p>
    <w:p w:rsidR="00FD78FC" w:rsidRDefault="00FD78F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FD78FC" w:rsidRDefault="00FD78F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FD78FC" w:rsidRDefault="00FD78F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FD78FC" w:rsidRDefault="00FD78FC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DB4725" w:rsidRDefault="00DB4725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FD78FC" w:rsidRDefault="0047037D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FD78FC" w:rsidRDefault="0047037D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  <w:br/>
        <w:t>и проекта межевания территории</w:t>
      </w:r>
      <w:r>
        <w:rPr>
          <w:b/>
          <w:bCs/>
          <w:sz w:val="28"/>
          <w:szCs w:val="28"/>
        </w:rPr>
        <w:br/>
        <w:t xml:space="preserve">по ул. Агатовой от ул. Уинской </w:t>
      </w:r>
      <w:r>
        <w:rPr>
          <w:b/>
          <w:bCs/>
          <w:sz w:val="28"/>
          <w:szCs w:val="28"/>
        </w:rPr>
        <w:br/>
        <w:t xml:space="preserve">до ул. Мраморной в Мотовилихинском </w:t>
      </w:r>
      <w:r>
        <w:rPr>
          <w:b/>
          <w:bCs/>
          <w:sz w:val="28"/>
          <w:szCs w:val="28"/>
        </w:rPr>
        <w:br/>
        <w:t>районе города Перми</w:t>
      </w:r>
      <w:r w:rsidR="00DB4725">
        <w:rPr>
          <w:b/>
          <w:bCs/>
          <w:sz w:val="28"/>
          <w:szCs w:val="28"/>
        </w:rPr>
        <w:t xml:space="preserve"> </w:t>
      </w:r>
    </w:p>
    <w:bookmarkEnd w:id="0"/>
    <w:p w:rsidR="00FD78FC" w:rsidRDefault="00FD78FC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:rsidR="00FD78FC" w:rsidRDefault="00FD78FC">
      <w:pPr>
        <w:spacing w:line="240" w:lineRule="exact"/>
        <w:ind w:firstLine="720"/>
        <w:jc w:val="both"/>
        <w:rPr>
          <w:b/>
          <w:bCs/>
          <w:sz w:val="28"/>
          <w:szCs w:val="28"/>
        </w:rPr>
      </w:pPr>
    </w:p>
    <w:p w:rsidR="00FD78FC" w:rsidRDefault="00FD78FC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Градостроительного</w:t>
      </w:r>
      <w:r w:rsidR="000601D7"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от 06 октября 2003 г. № 131-ФЗ «Об общих принципах организации местного самоуправления в Российской Федерации», от 14 марта </w:t>
      </w:r>
      <w:r w:rsidR="000601D7">
        <w:rPr>
          <w:sz w:val="28"/>
          <w:szCs w:val="28"/>
        </w:rPr>
        <w:br/>
      </w:r>
      <w:r>
        <w:rPr>
          <w:sz w:val="28"/>
          <w:szCs w:val="28"/>
        </w:rPr>
        <w:t xml:space="preserve">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29 октября 2024 г. № 31-02-1-4-2848 «О направлении проекта планировки территории и проекта межевания территории по ул. Агатовой </w:t>
      </w:r>
      <w:r w:rsidR="000601D7">
        <w:rPr>
          <w:sz w:val="28"/>
          <w:szCs w:val="28"/>
        </w:rPr>
        <w:br/>
      </w:r>
      <w:r>
        <w:rPr>
          <w:sz w:val="28"/>
          <w:szCs w:val="28"/>
        </w:rPr>
        <w:t xml:space="preserve">от ул. Уинской до ул. Мраморной в Мотовилихинском районе города Перми, </w:t>
      </w:r>
      <w:r w:rsidR="000601D7">
        <w:rPr>
          <w:sz w:val="28"/>
          <w:szCs w:val="28"/>
        </w:rPr>
        <w:br/>
      </w:r>
      <w:r>
        <w:rPr>
          <w:sz w:val="28"/>
          <w:szCs w:val="28"/>
        </w:rPr>
        <w:t xml:space="preserve">для организации и проведения общественных обсуждений или публичных слушаний», Устава города Перми, </w:t>
      </w:r>
      <w:hyperlink r:id="rId8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30 октября 2024 г. № 31-07-1-5исх-1286, заключения Министерства по управлению имуществом и градостроительной деятельности Пермского края о соответствии проекта планировки территории </w:t>
      </w:r>
      <w:r w:rsidR="000601D7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 проекта межевания территории по ул. Агатовой от ул. Уинской до ул. Мраморной </w:t>
      </w:r>
      <w:r>
        <w:rPr>
          <w:sz w:val="28"/>
          <w:szCs w:val="28"/>
        </w:rPr>
        <w:br/>
        <w:t xml:space="preserve">в Мотовилихинском районе города Перми, требованиям градостроительного законодательства Российской Федерации от 21 октября 2024 г. </w:t>
      </w:r>
    </w:p>
    <w:p w:rsidR="00FD78FC" w:rsidRDefault="0047037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планировки территории и проекта межевания территории по ул. Агатовой </w:t>
      </w:r>
      <w:r>
        <w:rPr>
          <w:sz w:val="28"/>
          <w:szCs w:val="28"/>
        </w:rPr>
        <w:br/>
        <w:t xml:space="preserve">от ул. Уинской до ул. Мраморной в Мотовилихинском районе города Перми </w:t>
      </w:r>
      <w:r w:rsidR="00166767">
        <w:rPr>
          <w:sz w:val="28"/>
          <w:szCs w:val="28"/>
        </w:rPr>
        <w:br/>
      </w:r>
      <w:r>
        <w:rPr>
          <w:sz w:val="28"/>
          <w:szCs w:val="28"/>
        </w:rPr>
        <w:t>(далее − Проект).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не ранее чем через 7 дней, </w:t>
      </w:r>
      <w:r w:rsidR="000601D7">
        <w:rPr>
          <w:sz w:val="28"/>
          <w:szCs w:val="28"/>
        </w:rPr>
        <w:br/>
      </w:r>
      <w:r>
        <w:rPr>
          <w:sz w:val="28"/>
          <w:szCs w:val="28"/>
        </w:rPr>
        <w:t>но не позднее чем через 10 дней со дня опубликования настоящего постановления одновременно: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0601D7">
        <w:rPr>
          <w:sz w:val="28"/>
          <w:szCs w:val="28"/>
        </w:rPr>
        <w:br/>
      </w:r>
      <w:r>
        <w:rPr>
          <w:sz w:val="28"/>
          <w:szCs w:val="28"/>
        </w:rPr>
        <w:t>и разместить на Официальном сайте;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 xml:space="preserve">о результатах общественных обсуждений в Министерство по управлению </w:t>
      </w:r>
      <w:r>
        <w:rPr>
          <w:sz w:val="28"/>
          <w:szCs w:val="28"/>
        </w:rPr>
        <w:lastRenderedPageBreak/>
        <w:t>имуществом и градостроительной деятельности Пермского края в установленные сроки.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15 ноября 2024 г. </w:t>
      </w:r>
      <w:r>
        <w:rPr>
          <w:sz w:val="28"/>
          <w:szCs w:val="28"/>
        </w:rPr>
        <w:br/>
        <w:t xml:space="preserve">по 19 ноября 2024 г.: понедельник, вторник − с 09.00 час. до 18.00 час., пятница − </w:t>
      </w:r>
      <w:r>
        <w:rPr>
          <w:sz w:val="28"/>
          <w:szCs w:val="28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FD78FC" w:rsidRDefault="0047037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18 ноября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>с 17.00 час. до 17.20 час. по адресу: 614014</w:t>
      </w:r>
      <w:r w:rsidR="00FB1A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г. Пермь, </w:t>
      </w:r>
      <w:r>
        <w:rPr>
          <w:color w:val="000000"/>
          <w:sz w:val="28"/>
          <w:szCs w:val="28"/>
        </w:rPr>
        <w:br/>
        <w:t xml:space="preserve">ул. Уральская, </w:t>
      </w:r>
      <w:r w:rsidR="000601D7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36, каб. 103, администрация Мотовилихинского района города Перми;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lastRenderedPageBreak/>
        <w:t>номер, место нахождения и адрес − для юридических лиц) с приложением документов, подтверждающих такие сведения;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>по вопросам градостроительной деятельнос</w:t>
      </w:r>
      <w:r w:rsidR="000601D7">
        <w:rPr>
          <w:sz w:val="28"/>
          <w:szCs w:val="28"/>
        </w:rPr>
        <w:t>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15 ноября 2024 г. по 19 ноября 2024 г.; 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19 ноября 2024 г.: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FD78FC" w:rsidRDefault="0047037D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</w:t>
      </w:r>
      <w:r w:rsidR="000601D7">
        <w:rPr>
          <w:sz w:val="28"/>
          <w:szCs w:val="28"/>
        </w:rPr>
        <w:t xml:space="preserve">д. </w:t>
      </w:r>
      <w:r>
        <w:rPr>
          <w:sz w:val="28"/>
          <w:szCs w:val="28"/>
        </w:rPr>
        <w:t>15, каб. 003.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FD78FC" w:rsidRDefault="00470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FD78FC" w:rsidRDefault="00FD78FC">
      <w:pPr>
        <w:ind w:firstLine="720"/>
        <w:jc w:val="both"/>
        <w:rPr>
          <w:sz w:val="28"/>
          <w:szCs w:val="28"/>
        </w:rPr>
      </w:pPr>
    </w:p>
    <w:p w:rsidR="00FD78FC" w:rsidRDefault="00FD78FC">
      <w:pPr>
        <w:ind w:firstLine="720"/>
        <w:jc w:val="both"/>
        <w:rPr>
          <w:sz w:val="28"/>
          <w:szCs w:val="28"/>
        </w:rPr>
      </w:pPr>
    </w:p>
    <w:p w:rsidR="00FD78FC" w:rsidRDefault="00FD78FC">
      <w:pPr>
        <w:ind w:firstLine="720"/>
        <w:jc w:val="both"/>
        <w:rPr>
          <w:sz w:val="28"/>
          <w:szCs w:val="28"/>
        </w:rPr>
      </w:pPr>
    </w:p>
    <w:p w:rsidR="00FD78FC" w:rsidRDefault="005C01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                                                                            О.Н. Андрианова</w:t>
      </w:r>
    </w:p>
    <w:sectPr w:rsidR="00FD78FC">
      <w:headerReference w:type="even" r:id="rId12"/>
      <w:headerReference w:type="default" r:id="rId13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40" w:rsidRDefault="00237940">
      <w:r>
        <w:separator/>
      </w:r>
    </w:p>
  </w:endnote>
  <w:endnote w:type="continuationSeparator" w:id="0">
    <w:p w:rsidR="00237940" w:rsidRDefault="0023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40" w:rsidRDefault="00237940">
      <w:r>
        <w:separator/>
      </w:r>
    </w:p>
  </w:footnote>
  <w:footnote w:type="continuationSeparator" w:id="0">
    <w:p w:rsidR="00237940" w:rsidRDefault="0023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FC" w:rsidRDefault="0047037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D78FC" w:rsidRDefault="00FD78F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8FC" w:rsidRDefault="0047037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348B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D78FC" w:rsidRDefault="00FD78F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FC"/>
    <w:rsid w:val="000601D7"/>
    <w:rsid w:val="00166767"/>
    <w:rsid w:val="001D2875"/>
    <w:rsid w:val="001D5CEC"/>
    <w:rsid w:val="00237940"/>
    <w:rsid w:val="0047037D"/>
    <w:rsid w:val="005C01B6"/>
    <w:rsid w:val="0074568F"/>
    <w:rsid w:val="00807347"/>
    <w:rsid w:val="00A90583"/>
    <w:rsid w:val="00B348B7"/>
    <w:rsid w:val="00BD4135"/>
    <w:rsid w:val="00DB4725"/>
    <w:rsid w:val="00E312C9"/>
    <w:rsid w:val="00FB1A24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2D1F5-3A11-4FC2-9408-B30F3C9A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2024-11-05T11:21:00Z</cp:lastPrinted>
  <dcterms:created xsi:type="dcterms:W3CDTF">2024-11-06T04:33:00Z</dcterms:created>
  <dcterms:modified xsi:type="dcterms:W3CDTF">2024-11-06T04:33:00Z</dcterms:modified>
  <cp:version>786432</cp:version>
</cp:coreProperties>
</file>