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Пермской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Случаи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из бюджета города Перми субсидий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некоммерческим организациям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грантов в форме субсидий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некоммерческим организациям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>
        <w:tblPrEx/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Случаи предоставления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bCs/>
                <w:i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ензию на осуществление образовательной деятельности, по возмещению части затрат</w:t>
            </w:r>
            <w:r>
              <w:rPr>
                <w:bCs/>
                <w:i/>
                <w:color w:val="000000" w:themeColor="text1"/>
              </w:rPr>
            </w:r>
            <w:r>
              <w:rPr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  <w:highlight w:val="white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bCs w:val="0"/>
                <w:i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организациям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в связи с ок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азанием услуг по организации отдыха детей и молодежи</w:t>
            </w:r>
            <w:r>
              <w:rPr>
                <w:bCs w:val="0"/>
                <w:i w:val="0"/>
                <w:color w:val="000000" w:themeColor="text1"/>
                <w:sz w:val="28"/>
                <w:szCs w:val="28"/>
              </w:rPr>
            </w:r>
            <w:r>
              <w:rPr>
                <w:bCs w:val="0"/>
                <w:i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1.3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физкультурно-спортивным клубам по месту жительства в целях возмещения затрат на оказание содействия, связанных с осуществлением физкультурной 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организациям отдыха детей и их оздоровления (за исключением государственных (муниципальных)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учреждений), индивидуальным предпринимателям, расположенным на территории Пермского края и оказывающим услуги с использованием сертификата на отдых детей и их оздор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овление, на возмещение части затрат на отдых и оздоровление детей в связи с оказанием услуг с использованием сертификата, дающего право на частичную оплату путевки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 индивидуальным предпринимателям на приобретение путевок в загородные лагеря отдыха и оздоровления детей,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детские оздоровительные лагеря санаторного типа для детей работников данных хозяйствующих субъектов, индивидуальных предпринимателей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1.6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 имеющим во владении и/или пользовании имущество, на базе которого организован загородный лагерь отдыха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оздоровления детей, детский оздоровительный лагерь санаторного типа, на оздоровление детей работников данных хозяйствующих субъектов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lang w:val="ru-RU"/>
              </w:rPr>
              <w:t xml:space="preserve">1.7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lang w:val="ru-RU"/>
              </w:rPr>
              <w:t xml:space="preserve">собственникам помещений в многоквартирном доме, выбравшим способ управления многоквартирным домом - непосредственное управление собственниками по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lang w:val="ru-RU"/>
              </w:rPr>
              <w:t xml:space="preserve">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учреждений), территориальным обществ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lang w:val="ru-RU"/>
              </w:rPr>
              <w:t xml:space="preserve">енным самоуправлениям, зарегистрированным в качестве юридических лиц, в целях возмещения затрат в связи с обустройством детских игровых и (или) детских спортивных площадок на земельных участках, находящихся в общей долевой собственности собственников помещ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lang w:val="ru-RU"/>
              </w:rPr>
              <w:t xml:space="preserve">ений многоквартирных домов города Перми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бла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гоустройству придомовых территорий многоквартирных домов на земельных участках, находящихся в общей долевой собственности собственников помещений в многоквартирных домах города Перми, а также территорий (земель, земельных участков), фактически используемых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 собственниками помещений многоквартирного дома для эксплуатации многоквартирного дома и объектов, входящих в состав общего имущества в таком доме, и находящихся в муниципальной собственности и (или)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собственникам помещений в многоквартирных домах города Перми, выбравшим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благоустройством дворовых территорий многоквартирных домов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управляющим организациям, товариществам собственников жилья, жилищным кооперативам или иным специализированным потребительским кооперативам, а при непосредственном управлении мног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оквартирным домом собственниками помещений - иным лицам, оказывающим услуги (выполняющим работы) по содержанию общего имущества многоквартирных домов, в части возмещения недополученных доходов, связанных с предоставлением гражданам мер социальной поддержки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 в виде уменьшения размера платы за содержание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 реконструкции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товариществам собственников жилья, жилищным, жилищно-строительным кооперативам, управляющим организациям, специализированной некоммерческой орга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муниципальному предприятию «Пермводоканал» на финансовое обеспечение расходов по погашению денежных обязательств по договору займа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юридическим лицам (за исключением государ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ственных (муниципальных) учреждений), индивидуальным предпринимателям, физическим лицам на возмещение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юридическим лицам (за исключением государственных (муниципальных) учреждений), индивидуальным предпринимателям, осуществляющим перевозку пассажиров общественным транспортом по муниципальным маршрутам регулярных перевозок города Перми, на возмещение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 затрат по бесплатному проезду водителей общественного транспорта, состоящих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в их штате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1.15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собственникам помещений в многокварт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ирных домах города Перми, выбравших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ительским кооперативам, управляющим организациям (за исключением государственных (муниципальных) учреждений) в целях возмещения затрат в связи с обустройством контейнерных площадок нового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lang w:val="ru-RU"/>
              </w:rPr>
              <w:t xml:space="preserve">образца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на придомовых территориях многоквартирных домов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Субсидии некоммерческим организациям, не являющимся государственными (муниципальными) учреждениями: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общественным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956"/>
        </w:trPr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Пермской городской общественной организации ветеранов (пенсионеров) войны, труда, Вооруженных сил и правоохранительных органов,  Общественной организации ветеранов (пенсионеров) войны, труда, Вооруженных Сил и правоохранительных органов Ленинского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 войны, труда, Вооруженных Сил и правоохранительных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г. Перми, Общественной организации ветеранов (пенсионеров) войны, труда, Вооруженных сил и прав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Перми, Общественной организации ветеранов (пенсионеров) войны, труда, Вооруженных сил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администрации п. Н. Ляды г. Перми, на финансовое обеспечение затрат, связанных с осу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ествлением уставной деятельности, направленной на организацию общественного контроля за выполнением законодательства в сфере защиты прав, свобод и интересов ветеранов (пенсионеров) войны, труда, Вооруженных Сил и правоохранительных органов, организацию и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роведение мероприятий для ветеранов (пенсионеров) войны, труда, Вооруженных Сил и правоохранительных органов города Перми, организацию и проведение мероприятий, направленных на патриотическое воспитание молодежи, повышение гражданской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ию и проведение мероприятий по работе с населением, в том числе на материально-техническое обеспечение деятельности территориальных общественных самоуправлений, содержание помещения, оплату коммунальных услуг, оплату труда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2.6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bCs/>
                <w:i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на возмещение части затрат по реализации основных общеобразова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</w:t>
            </w:r>
            <w:r>
              <w:rPr>
                <w:bCs/>
                <w:i/>
                <w:color w:val="000000" w:themeColor="text1"/>
              </w:rPr>
            </w:r>
            <w:r>
              <w:rPr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отдельным категориям лиц, которым присуждена ученая степень кандидата наук, доктора н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аук, работающих в указанных организациях, и администрированием данных расходов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2.8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общественным объединениям пожарной охраны в целях возмещения затрат на материальное стимулирование деятельности добровольных пожарных, действующих на территории 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2.10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военно-патриотической 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атики, по информированию населения города Перми о деятельности территориальных общественных самоуправлений, по информированию населения города Перми о деятельности направленной на сохранение и развитие традиций гражданственности и патриотизма, по проведени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семинаров, круглых столов для органов территориальных общественных самоуправлений, по проведению форумов, по проведению мероприятий, направленных на оказание информационно-методической, консультационной и ресурсной поддержки, на проведение мероприятий, 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иуроченных к Празднику Весны и Труда, а также на проведение культурно-массовых и спортивных мероприятий по месту жительства населения в рамках реализации мероприятий, направленных на решение вопросов местного значения в микрорайонах 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2.12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некоммерческим организациям, не являющимся государственными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 рамках укрепления межнационального и межконфессионального согласия в городе Перми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bCs/>
                <w:i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семей, имеющих детей, из многодетных семей, среднедушевой доход которых н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иже величины прожиточного минимума на душу населения, установленной в Пермском крае</w:t>
            </w:r>
            <w:r>
              <w:rPr>
                <w:bCs/>
                <w:i/>
                <w:color w:val="000000" w:themeColor="text1"/>
              </w:rPr>
            </w:r>
            <w:r>
              <w:rPr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2.14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9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9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bCs/>
                <w:i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мер соц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иальной поддержки в форме предоставления бесплатного питания отдельным категориям учащихся в частных общеобразовательных организациях</w:t>
            </w:r>
            <w:r>
              <w:rPr>
                <w:bCs/>
                <w:i/>
                <w:color w:val="000000" w:themeColor="text1"/>
              </w:rPr>
            </w:r>
            <w:r>
              <w:rPr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2.15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некоммерческим организациям (за исключением государственных (муниципальных) учреждений) на приобретение путевок в загородные лагеря отдыха и оздоровления детей, детские оздоровительные лагеря санаторного типа для детей работников данных некоммерческих орга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низаций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2.16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2.17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9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bCs/>
                <w:i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мер соц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иальной поддержки в форме предоставления бесплатного двухразового питания обучающихся с ограниченными возможностями здоровья</w:t>
            </w:r>
            <w:r>
              <w:rPr>
                <w:bCs/>
                <w:i/>
                <w:color w:val="000000" w:themeColor="text1"/>
              </w:rPr>
            </w:r>
            <w:r>
              <w:rPr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2.18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2.19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организациям отдыха детей и их оздоровления (за исключением государственных (муниципальных) учреждений),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ат на отдых и оздоровление детей в связи с оказанием услуг с использованием сертификата, дающего право на частичную оплату путевки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2.20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некоммерческим организациям (за исключением государственных (муниципальных) учреждений) независимо от организационно-правовой формы и формы собственности, имеющим во владении и/или пользовании имущество, на базе которого организован загородный лагерь отдых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 и оздоровления детей, детский оздоровительный лагерь санаторного типа, на оздоровление детей работников данных некоммерческих организаций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2.21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некоммерческим орга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низациям, не являющимся государственными (муниципальными) учреждениями, на финансовое обеспечение затрат,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2.22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некоммерческим организациям (за исключением государственных (муниципальных) учреждений)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на финансовое обеспечение затрат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 связанных с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про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ведением мероприятий по профилактике семейного и бытового насилия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highlight w:val="white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Гранты в форме субсидий некоммерческим организациям, не являющимся казенными учреждениями: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3.1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екоммерческим организациям, не являющимся казенными учреждениями, в том числе общественным объединениям, территориальным общественным самоуправлениям, муниципальным бюджетным и автономным учреждениям, зарегистрированным в качестве юридического лица на терр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итории города Перми и планирующим реализацию мероприятий проекта на территории города Перми,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86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государственному бюджетному учреждению «Институт территориального планирования» на финансовое обеспечение затрат, связанных с разработкой архитектурных и градостроительных концепций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6" w:bottom="1134" w:left="1418" w:header="426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0030508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7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7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7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7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7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7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7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7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6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6"/>
    <w:next w:val="856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7"/>
    <w:link w:val="700"/>
    <w:uiPriority w:val="10"/>
    <w:rPr>
      <w:sz w:val="48"/>
      <w:szCs w:val="48"/>
    </w:rPr>
  </w:style>
  <w:style w:type="paragraph" w:styleId="702">
    <w:name w:val="Subtitle"/>
    <w:basedOn w:val="856"/>
    <w:next w:val="856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7"/>
    <w:link w:val="702"/>
    <w:uiPriority w:val="11"/>
    <w:rPr>
      <w:sz w:val="24"/>
      <w:szCs w:val="24"/>
    </w:rPr>
  </w:style>
  <w:style w:type="paragraph" w:styleId="704">
    <w:name w:val="Quote"/>
    <w:basedOn w:val="856"/>
    <w:next w:val="856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6"/>
    <w:next w:val="856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7"/>
    <w:link w:val="862"/>
    <w:uiPriority w:val="99"/>
  </w:style>
  <w:style w:type="character" w:styleId="709">
    <w:name w:val="Footer Char"/>
    <w:basedOn w:val="857"/>
    <w:link w:val="864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4"/>
    <w:uiPriority w:val="99"/>
  </w:style>
  <w:style w:type="table" w:styleId="712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2">
    <w:name w:val="Header"/>
    <w:basedOn w:val="856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7"/>
    <w:link w:val="862"/>
    <w:uiPriority w:val="99"/>
  </w:style>
  <w:style w:type="paragraph" w:styleId="864">
    <w:name w:val="Footer"/>
    <w:basedOn w:val="856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7"/>
    <w:link w:val="864"/>
    <w:uiPriority w:val="99"/>
  </w:style>
  <w:style w:type="paragraph" w:styleId="866">
    <w:name w:val="Balloon Text"/>
    <w:basedOn w:val="856"/>
    <w:link w:val="8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857"/>
    <w:link w:val="866"/>
    <w:uiPriority w:val="99"/>
    <w:semiHidden/>
    <w:rPr>
      <w:rFonts w:ascii="Segoe UI" w:hAnsi="Segoe UI" w:cs="Segoe UI"/>
      <w:sz w:val="18"/>
      <w:szCs w:val="18"/>
    </w:rPr>
  </w:style>
  <w:style w:type="paragraph" w:styleId="86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финансов администрации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revision>9</cp:revision>
  <dcterms:created xsi:type="dcterms:W3CDTF">2023-10-19T12:25:00Z</dcterms:created>
  <dcterms:modified xsi:type="dcterms:W3CDTF">2024-10-18T07:15:48Z</dcterms:modified>
</cp:coreProperties>
</file>