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jc w:val="both"/>
        <w:rPr>
          <w:rFonts w:eastAsia="Times New Roman" w:cs="Times New Roman"/>
          <w:szCs w:val="20"/>
        </w:rPr>
      </w:pPr>
      <w:r>
        <w:rPr>
          <w:rFonts w:ascii="Courier New" w:hAnsi="Courier New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-680085</wp:posOffset>
                </wp:positionV>
                <wp:extent cx="407035" cy="495300"/>
                <wp:effectExtent l="0" t="0" r="0" b="0"/>
                <wp:wrapNone/>
                <wp:docPr id="1" name="Рисунок 1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53.5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 w:cs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-693420</wp:posOffset>
                </wp:positionV>
                <wp:extent cx="6285865" cy="1803400"/>
                <wp:effectExtent l="0" t="0" r="635" b="6350"/>
                <wp:wrapNone/>
                <wp:docPr id="2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803400"/>
                          <a:chOff x="1430" y="434"/>
                          <a:chExt cx="9899" cy="2840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434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20.11.2024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1108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9264;o:allowoverlap:true;o:allowincell:true;mso-position-horizontal-relative:text;margin-left:0.05pt;mso-position-horizontal:absolute;mso-position-vertical-relative:text;margin-top:-54.60pt;mso-position-vertical:absolute;width:494.95pt;height:142.00pt;mso-wrap-distance-left:9.00pt;mso-wrap-distance-top:0.00pt;mso-wrap-distance-right:9.00pt;mso-wrap-distance-bottom:0.00pt;" coordorigin="14,4" coordsize="98,28">
                <v:shape id="shape 3" o:spid="_x0000_s3" o:spt="202" type="#_x0000_t202" style="position:absolute;left:14;top:4;width:98;height:2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20.11.2024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1108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="Times New Roman"/>
          <w:szCs w:val="20"/>
        </w:rPr>
      </w:r>
      <w:r>
        <w:rPr>
          <w:rFonts w:eastAsia="Times New Roman" w:cs="Times New Roman"/>
          <w:szCs w:val="20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538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ind w:right="4961"/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перечни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особо ценного движимого имущества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 иного имущества, передаваемого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баланс муниципальному бюджетному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учреждению «Архив города Перми»,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утвержденные постановлением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администрации города Перми </w:t>
      </w:r>
      <w:r>
        <w:rPr>
          <w:rFonts w:cs="Times New Roman"/>
          <w:b/>
          <w:sz w:val="28"/>
          <w:szCs w:val="28"/>
        </w:rPr>
        <w:br/>
        <w:t xml:space="preserve">от 13.10.2011 № 609 «О создании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муниципального бюджетного учреждения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«Архив города Перми» путем изменения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типа существующего муниципального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spacing w:line="240" w:lineRule="exac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учреждения «Архив города Перми» </w:t>
      </w:r>
      <w:r>
        <w:rPr>
          <w:rFonts w:cs="Times New Roman"/>
          <w:b/>
          <w:sz w:val="28"/>
          <w:szCs w:val="28"/>
        </w:rPr>
      </w:r>
      <w:r>
        <w:rPr>
          <w:rFonts w:cs="Times New Roman"/>
          <w:b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  <w:t xml:space="preserve">В соответствии с </w:t>
      </w:r>
      <w:hyperlink r:id="rId13" w:tooltip="https://login.consultant.ru/link/?req=doc&amp;base=RLAW368&amp;n=144871" w:history="1">
        <w:r>
          <w:rPr>
            <w:rFonts w:cs="Times New Roman"/>
            <w:bCs/>
            <w:sz w:val="28"/>
            <w:szCs w:val="28"/>
            <w:lang w:eastAsia="en-US"/>
          </w:rPr>
          <w:t xml:space="preserve">Положением</w:t>
        </w:r>
      </w:hyperlink>
      <w:r>
        <w:rPr>
          <w:rFonts w:cs="Times New Roman"/>
          <w:bCs/>
          <w:sz w:val="28"/>
          <w:szCs w:val="28"/>
          <w:lang w:eastAsia="en-US"/>
        </w:rPr>
        <w:t xml:space="preserve"> о видах и перечнях особо ценного движимого имущества муниципальных автономных или бюджетных учреждений города Перми, утвержденным постановлением администрации города Перми от 20 июня 2011 г. </w:t>
      </w:r>
      <w:r>
        <w:rPr>
          <w:rFonts w:cs="Times New Roman"/>
          <w:bCs/>
          <w:sz w:val="28"/>
          <w:szCs w:val="28"/>
          <w:lang w:eastAsia="en-US"/>
        </w:rPr>
        <w:t xml:space="preserve">№</w:t>
      </w:r>
      <w:r>
        <w:rPr>
          <w:rFonts w:cs="Times New Roman"/>
          <w:bCs/>
          <w:sz w:val="28"/>
          <w:szCs w:val="28"/>
          <w:lang w:eastAsia="en-US"/>
        </w:rPr>
        <w:t xml:space="preserve"> 293, в целях актуализации нормативных правовых актов администрации города Перми</w:t>
      </w: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eastAsia="en-US"/>
        </w:rPr>
        <w:t xml:space="preserve">администрация города Перми </w:t>
      </w:r>
      <w:r>
        <w:rPr>
          <w:rFonts w:cs="Times New Roman"/>
          <w:sz w:val="28"/>
          <w:szCs w:val="28"/>
        </w:rPr>
        <w:t xml:space="preserve">ПОСТАНОВЛЯЕТ: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1. Утвердить прилагаемые изменения в </w:t>
      </w:r>
      <w:hyperlink r:id="rId14" w:tooltip="https://login.consultant.ru/link/?req=doc&amp;base=REXP368&amp;n=7410&amp;dst=100029" w:history="1">
        <w:r>
          <w:rPr>
            <w:rFonts w:cs="Times New Roman"/>
            <w:sz w:val="28"/>
            <w:szCs w:val="28"/>
            <w:lang w:eastAsia="en-US"/>
          </w:rPr>
          <w:t xml:space="preserve">перечень</w:t>
        </w:r>
      </w:hyperlink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bCs/>
          <w:sz w:val="28"/>
          <w:szCs w:val="28"/>
          <w:lang w:eastAsia="en-US"/>
        </w:rPr>
        <w:t xml:space="preserve">особо ценного движимого имущества</w:t>
      </w:r>
      <w:r>
        <w:rPr>
          <w:rFonts w:cs="Times New Roman"/>
          <w:sz w:val="28"/>
          <w:szCs w:val="28"/>
          <w:lang w:eastAsia="en-US"/>
        </w:rPr>
        <w:t xml:space="preserve">, передаваемого на баланс муниципальному бюджетному учреждению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, утвержденный постановлением администрации города Перми от 13 октября 2011 г.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609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О создании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путем изменения типа существующего муниципального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(</w:t>
      </w:r>
      <w:r>
        <w:rPr>
          <w:rFonts w:cs="Times New Roman"/>
          <w:sz w:val="28"/>
          <w:szCs w:val="28"/>
          <w:lang w:eastAsia="en-US"/>
        </w:rPr>
        <w:t xml:space="preserve">в ред. от 15.01.2013 № 7, </w:t>
      </w:r>
      <w:r>
        <w:rPr>
          <w:rFonts w:cs="Times New Roman"/>
          <w:sz w:val="28"/>
          <w:szCs w:val="28"/>
          <w:lang w:eastAsia="en-US"/>
        </w:rPr>
        <w:br/>
        <w:t xml:space="preserve">от 25.01.2013 № 33,</w:t>
      </w:r>
      <w: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 от 26.02.2013 № 99, от 15.10.2013 № 843, от 23.07.2014 </w:t>
      </w:r>
      <w:r>
        <w:rPr>
          <w:rFonts w:cs="Times New Roman"/>
          <w:sz w:val="28"/>
          <w:szCs w:val="28"/>
          <w:lang w:eastAsia="en-US"/>
        </w:rPr>
        <w:br/>
        <w:t xml:space="preserve">№ 497, от 02.12.2015 № 1014, </w:t>
      </w:r>
      <w:r>
        <w:rPr>
          <w:rFonts w:cs="Times New Roman"/>
          <w:sz w:val="28"/>
          <w:szCs w:val="28"/>
          <w:lang w:eastAsia="en-US"/>
        </w:rPr>
        <w:t xml:space="preserve">от 23.09.2016 № 732, от 05.07.2017 № 508, </w:t>
      </w:r>
      <w:r>
        <w:rPr>
          <w:rFonts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  <w:lang w:eastAsia="en-US"/>
        </w:rPr>
        <w:t xml:space="preserve">от 16.11.2017 № 1040, от 28.06.2018 № 439, от 23.11.2018 № 919, от 29.12.2021 </w:t>
      </w:r>
      <w:r>
        <w:rPr>
          <w:rFonts w:cs="Times New Roman"/>
          <w:sz w:val="28"/>
          <w:szCs w:val="28"/>
          <w:lang w:eastAsia="en-US"/>
        </w:rPr>
        <w:br/>
      </w:r>
      <w:r>
        <w:rPr>
          <w:rFonts w:cs="Times New Roman"/>
          <w:sz w:val="28"/>
          <w:szCs w:val="28"/>
          <w:lang w:eastAsia="en-US"/>
        </w:rPr>
        <w:t xml:space="preserve">№ 1264, от 14.09.2022 № 795, </w:t>
      </w:r>
      <w:r>
        <w:rPr>
          <w:rFonts w:cs="Times New Roman"/>
          <w:bCs/>
          <w:sz w:val="28"/>
          <w:szCs w:val="28"/>
          <w:lang w:eastAsia="en-US"/>
        </w:rPr>
        <w:t xml:space="preserve">от 28.07.2023 № 646,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06.12.2023 № 1386</w:t>
      </w:r>
      <w:r>
        <w:rPr>
          <w:rFonts w:cs="Times New Roman"/>
          <w:sz w:val="28"/>
          <w:szCs w:val="28"/>
          <w:lang w:eastAsia="en-US"/>
        </w:rPr>
        <w:t xml:space="preserve">).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Утвердить прилагаемые изменения в </w:t>
      </w:r>
      <w:hyperlink r:id="rId15" w:tooltip="https://login.consultant.ru/link/?req=doc&amp;base=REXP368&amp;n=7410&amp;dst=100029" w:history="1">
        <w:r>
          <w:rPr>
            <w:rFonts w:cs="Times New Roman"/>
            <w:sz w:val="28"/>
            <w:szCs w:val="28"/>
            <w:lang w:eastAsia="en-US"/>
          </w:rPr>
          <w:t xml:space="preserve">перечень</w:t>
        </w:r>
      </w:hyperlink>
      <w:r>
        <w:rPr>
          <w:rFonts w:cs="Times New Roman"/>
          <w:sz w:val="28"/>
          <w:szCs w:val="28"/>
          <w:lang w:eastAsia="en-US"/>
        </w:rPr>
        <w:t xml:space="preserve"> иного имущества, передаваемого на баланс муниципальному бюджетному учреждению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, утвержденный постановлением администрации города Перми от 13 октября 2011 г.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609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О создании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путем изменения типа существующего муниципального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(в ред. от 15.01.2013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7, от 25.01.2013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33,</w:t>
      </w:r>
      <w:r>
        <w:t xml:space="preserve">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 от 26.02.2013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99, от 15.10.2013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843, от 23.07.2014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497, от 02.12.2015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1014, </w:t>
      </w:r>
      <w:r>
        <w:rPr>
          <w:rFonts w:cs="Times New Roman"/>
          <w:sz w:val="28"/>
          <w:szCs w:val="28"/>
          <w:lang w:eastAsia="en-US"/>
        </w:rPr>
        <w:t xml:space="preserve">от 23.09.2016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732, от 05.07.2017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508, от 16.11.2017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1040,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от 28.06.2018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439, от 23.11.2018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919, от 29.12.2021 </w:t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1264, от 14.09.2022 </w:t>
      </w:r>
      <w:r>
        <w:br/>
      </w:r>
      <w:r>
        <w:rPr>
          <w:rFonts w:cs="Times New Roman"/>
          <w:sz w:val="28"/>
          <w:szCs w:val="28"/>
          <w:lang w:eastAsia="en-US"/>
        </w:rPr>
        <w:t xml:space="preserve">№</w:t>
      </w:r>
      <w:r>
        <w:rPr>
          <w:rFonts w:cs="Times New Roman"/>
          <w:sz w:val="28"/>
          <w:szCs w:val="28"/>
          <w:lang w:eastAsia="en-US"/>
        </w:rPr>
        <w:t xml:space="preserve"> 795, </w:t>
      </w:r>
      <w:r>
        <w:rPr>
          <w:rFonts w:cs="Times New Roman"/>
          <w:bCs/>
          <w:sz w:val="28"/>
          <w:szCs w:val="28"/>
          <w:lang w:eastAsia="en-US"/>
        </w:rPr>
        <w:t xml:space="preserve">от 28.07.2023 </w:t>
      </w:r>
      <w:r>
        <w:rPr>
          <w:rFonts w:cs="Times New Roman"/>
          <w:bCs/>
          <w:sz w:val="28"/>
          <w:szCs w:val="28"/>
          <w:lang w:eastAsia="en-US"/>
        </w:rPr>
        <w:t xml:space="preserve">№</w:t>
      </w:r>
      <w:r>
        <w:rPr>
          <w:rFonts w:cs="Times New Roman"/>
          <w:bCs/>
          <w:sz w:val="28"/>
          <w:szCs w:val="28"/>
          <w:lang w:eastAsia="en-US"/>
        </w:rPr>
        <w:t xml:space="preserve"> 646,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06.12.2023 № 1386</w:t>
      </w:r>
      <w:r>
        <w:rPr>
          <w:rFonts w:cs="Times New Roman"/>
          <w:sz w:val="28"/>
          <w:szCs w:val="28"/>
          <w:lang w:eastAsia="en-US"/>
        </w:rPr>
        <w:t xml:space="preserve">).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3. Директору муниципального бюджетного учреждения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Архив города Перми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в тече</w:t>
      </w:r>
      <w:r>
        <w:rPr>
          <w:rFonts w:cs="Times New Roman"/>
          <w:sz w:val="28"/>
          <w:szCs w:val="28"/>
          <w:lang w:eastAsia="en-US"/>
        </w:rPr>
        <w:t xml:space="preserve">ние 5 рабочих дней со дня подписания настоящего постановления представить в департамент имущественных отношений администрации города Перми копию настоящего постановления для внесения изменений в учетные данные реестра муниципального имущества города Перми.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4. Департаменту имущественных отношений администрации города Перми в установленном порядке в срок не позднее 30 дней со дня вступления в силу настоящего постановления внести изменения в реестр муниципального имущества города Перми.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5. </w:t>
      </w:r>
      <w:r>
        <w:rPr>
          <w:rFonts w:cs="Times New Roman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6. </w:t>
      </w:r>
      <w:r>
        <w:rPr>
          <w:rFonts w:cs="Times New Roman"/>
          <w:sz w:val="28"/>
          <w:szCs w:val="28"/>
          <w:lang w:eastAsia="en-US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</w:t>
      </w:r>
      <w:r>
        <w:rPr>
          <w:rFonts w:cs="Times New Roman"/>
          <w:sz w:val="28"/>
          <w:szCs w:val="28"/>
          <w:lang w:eastAsia="en-US"/>
        </w:rPr>
        <w:t xml:space="preserve">м средстве массовой информации «</w:t>
      </w:r>
      <w:r>
        <w:rPr>
          <w:rFonts w:cs="Times New Roman"/>
          <w:sz w:val="28"/>
          <w:szCs w:val="28"/>
          <w:lang w:eastAsia="en-US"/>
        </w:rPr>
        <w:t xml:space="preserve">Официальный бюллетень органов местного самоуправления муницип</w:t>
      </w:r>
      <w:r>
        <w:rPr>
          <w:rFonts w:cs="Times New Roman"/>
          <w:sz w:val="28"/>
          <w:szCs w:val="28"/>
          <w:lang w:eastAsia="en-US"/>
        </w:rPr>
        <w:t xml:space="preserve">ального образования город Пермь»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7. </w:t>
      </w:r>
      <w:r>
        <w:rPr>
          <w:rFonts w:cs="Times New Roman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</w:t>
      </w:r>
      <w:r>
        <w:rPr>
          <w:rFonts w:cs="Times New Roman"/>
          <w:sz w:val="28"/>
          <w:szCs w:val="28"/>
          <w:lang w:eastAsia="en-US"/>
        </w:rPr>
        <w:t xml:space="preserve">публикования в сетевом издании «</w:t>
      </w:r>
      <w:r>
        <w:rPr>
          <w:rFonts w:cs="Times New Roman"/>
          <w:sz w:val="28"/>
          <w:szCs w:val="28"/>
          <w:lang w:eastAsia="en-US"/>
        </w:rPr>
        <w:t xml:space="preserve">Официальный сайт муниципального образован</w:t>
      </w:r>
      <w:r>
        <w:rPr>
          <w:rFonts w:cs="Times New Roman"/>
          <w:sz w:val="28"/>
          <w:szCs w:val="28"/>
          <w:lang w:eastAsia="en-US"/>
        </w:rPr>
        <w:t xml:space="preserve">ия город Пермь www.gorodperm.ru»</w:t>
      </w:r>
      <w:r>
        <w:rPr>
          <w:rFonts w:cs="Times New Roman"/>
          <w:sz w:val="28"/>
          <w:szCs w:val="28"/>
          <w:lang w:eastAsia="en-US"/>
        </w:rPr>
        <w:t xml:space="preserve">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8. Контроль за исполнением настоящего постановления возложить на руководителя аппарата администрации города Перми Молоковских А.В.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20.11.2024 № 1108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особо ценного движимого имущества, передаваемого </w:t>
      </w:r>
      <w:r>
        <w:rPr>
          <w:b/>
          <w:sz w:val="28"/>
          <w:szCs w:val="28"/>
        </w:rPr>
        <w:br/>
        <w:t xml:space="preserve">на баланс муниципальному бюджетному учреждению «Архив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«Архив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rFonts w:cs="Times New Roman"/>
          <w:bCs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  <w:r>
        <w:rPr>
          <w:rFonts w:cs="Times New Roman"/>
          <w:bCs/>
          <w:sz w:val="28"/>
          <w:szCs w:val="28"/>
          <w:lang w:eastAsia="en-US"/>
        </w:rPr>
      </w:r>
    </w:p>
    <w:p>
      <w:pPr>
        <w:pStyle w:val="873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После строки 153 дополнить строкой 154 следующего содержания: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4"/>
        <w:gridCol w:w="1474"/>
        <w:gridCol w:w="364"/>
        <w:gridCol w:w="1361"/>
        <w:gridCol w:w="1361"/>
        <w:gridCol w:w="604"/>
        <w:gridCol w:w="24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154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4" w:type="dxa"/>
            <w:textDirection w:val="lrTb"/>
            <w:noWrap w:val="false"/>
          </w:tcPr>
          <w:p>
            <w:r>
              <w:t xml:space="preserve">21013403000001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r>
              <w:t xml:space="preserve">Пылесос бытовой (Портативный обеспыливатель фондов VIAR)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230 000,00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t xml:space="preserve">191 666,70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2023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5" w:type="dxa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01-68-38 от 15.12.2023,</w:t>
            </w:r>
            <w:r/>
          </w:p>
          <w:p>
            <w:pPr>
              <w:jc w:val="center"/>
            </w:pPr>
            <w:r>
              <w:t xml:space="preserve">товарная накладная</w:t>
            </w:r>
            <w:r>
              <w:br/>
              <w:t xml:space="preserve">от 18.12.2023 </w:t>
            </w:r>
            <w:r/>
          </w:p>
          <w:p>
            <w:pPr>
              <w:jc w:val="center"/>
              <w:rPr>
                <w:rFonts w:cs="Times New Roman"/>
                <w:lang w:eastAsia="en-US"/>
              </w:rPr>
            </w:pPr>
            <w:r>
              <w:t xml:space="preserve">№ НФНФ-671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</w:tr>
    </w:tbl>
    <w:p>
      <w:pPr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p>
      <w:pPr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</w:t>
      </w:r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С</w:t>
      </w:r>
      <w:hyperlink r:id="rId16" w:tooltip="https://login.consultant.ru/link/?req=doc&amp;base=REXP368&amp;n=7410&amp;dst=100027" w:history="1">
        <w:r>
          <w:rPr>
            <w:rFonts w:cs="Times New Roman"/>
            <w:sz w:val="28"/>
            <w:szCs w:val="28"/>
            <w:lang w:eastAsia="en-US"/>
          </w:rPr>
          <w:t xml:space="preserve">троку</w:t>
        </w:r>
      </w:hyperlink>
      <w:r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 xml:space="preserve">«</w:t>
      </w:r>
      <w:r>
        <w:rPr>
          <w:rFonts w:cs="Times New Roman"/>
          <w:sz w:val="28"/>
          <w:szCs w:val="28"/>
          <w:lang w:eastAsia="en-US"/>
        </w:rPr>
        <w:t xml:space="preserve">Итого</w:t>
      </w:r>
      <w:r>
        <w:rPr>
          <w:rFonts w:cs="Times New Roman"/>
          <w:sz w:val="28"/>
          <w:szCs w:val="28"/>
          <w:lang w:eastAsia="en-US"/>
        </w:rPr>
        <w:t xml:space="preserve">»</w:t>
      </w:r>
      <w:r>
        <w:rPr>
          <w:rFonts w:cs="Times New Roman"/>
          <w:sz w:val="28"/>
          <w:szCs w:val="28"/>
          <w:lang w:eastAsia="en-US"/>
        </w:rPr>
        <w:t xml:space="preserve"> изложить в следующей редакции:</w:t>
      </w:r>
      <w:r>
        <w:rPr>
          <w:rFonts w:cs="Times New Roman"/>
          <w:sz w:val="28"/>
          <w:szCs w:val="28"/>
          <w:lang w:eastAsia="en-US"/>
        </w:rPr>
      </w:r>
      <w:r>
        <w:rPr>
          <w:rFonts w:cs="Times New Roman"/>
          <w:sz w:val="28"/>
          <w:szCs w:val="28"/>
          <w:lang w:eastAsia="en-US"/>
        </w:rPr>
      </w: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64"/>
        <w:gridCol w:w="1966"/>
        <w:gridCol w:w="1843"/>
        <w:gridCol w:w="851"/>
        <w:gridCol w:w="113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Итого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4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37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25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858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394,74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 xml:space="preserve">19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368</w:t>
            </w:r>
            <w:r>
              <w:rPr>
                <w:rFonts w:cs="Times New Roman"/>
                <w:lang w:eastAsia="en-US"/>
              </w:rPr>
              <w:t xml:space="preserve"> </w:t>
            </w:r>
            <w:r>
              <w:rPr>
                <w:rFonts w:cs="Times New Roman"/>
                <w:lang w:eastAsia="en-US"/>
              </w:rPr>
              <w:t xml:space="preserve">685,50</w:t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  <w:r>
              <w:rPr>
                <w:rFonts w:cs="Times New Roman"/>
                <w:lang w:eastAsia="en-US"/>
              </w:rPr>
            </w:r>
          </w:p>
        </w:tc>
      </w:tr>
    </w:tbl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20.11.2024 № 1108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перечень иного имущества, передаваемого на баланс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муниципальному бюджетному учреждению «Архив города Перми»,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октября 2011 г. № 609 «О создании муниципального бюджетного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«Архив города Перми» путем изменения типа существующего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5"/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«Архив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После строки 388 дополнить строками 389-406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6"/>
        <w:gridCol w:w="1846"/>
        <w:gridCol w:w="1545"/>
        <w:gridCol w:w="546"/>
        <w:gridCol w:w="1258"/>
        <w:gridCol w:w="751"/>
        <w:gridCol w:w="993"/>
        <w:gridCol w:w="2270"/>
      </w:tblGrid>
      <w:tr>
        <w:tblPrEx/>
        <w:trPr>
          <w:trHeight w:val="1090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389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21013402000433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Моноблок 27" MSI Modern AM272, клавиатура, мышь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</w:t>
            </w:r>
            <w:r>
              <w:rPr>
                <w:rFonts w:eastAsia="Times New Roman" w:cs="Times New Roman"/>
              </w:rPr>
            </w:r>
            <w:r>
              <w:rPr>
                <w:rFonts w:eastAsia="Times New Roman" w:cs="Times New Roman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69 000,00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01-68-37 от 15.12.2023, универсальный передаточный документ </w:t>
            </w:r>
            <w:r>
              <w:br/>
              <w:t xml:space="preserve">от 20.</w:t>
            </w:r>
            <w:r>
              <w:t xml:space="preserve">12.2023</w:t>
            </w:r>
            <w:r>
              <w:t xml:space="preserve"> № 373</w:t>
            </w:r>
            <w:r/>
          </w:p>
        </w:tc>
      </w:tr>
      <w:tr>
        <w:tblPrEx/>
        <w:trPr>
          <w:trHeight w:val="1265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21013405000007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 бытовой (сплит-</w:t>
            </w:r>
            <w:r>
              <w:t xml:space="preserve">система) DAICONDWINODN-18NW/DU-18NW/ODU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66 431,00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01-68-39 от 15.12.2023, универсальный передаточный документ </w:t>
            </w:r>
            <w:r>
              <w:br/>
              <w:t xml:space="preserve">от 18.12.2023 № 969</w:t>
            </w:r>
            <w:r/>
          </w:p>
        </w:tc>
      </w:tr>
      <w:tr>
        <w:tblPrEx/>
        <w:trPr>
          <w:trHeight w:val="1311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21013606000003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Стол руководителя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61 300,00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414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21013606000004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Стол приставка боковая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20 050,00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272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21013606000005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Тумба подкатная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19 090,00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292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r>
              <w:t xml:space="preserve">21013606000006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Стол для переговоров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50 620,00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325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21013606000007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Шкаф-гардероб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23 480,00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344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21013606000008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Топ для шкафа-гардероба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11 700,00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236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21013606000009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Стеллаж </w:t>
            </w:r>
            <w:r/>
          </w:p>
          <w:p>
            <w:pPr>
              <w:jc w:val="center"/>
            </w:pPr>
            <w:r>
              <w:t xml:space="preserve">для документов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72 630,00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1-68-08 от 01.02.2024,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20.02.2024 № 9</w:t>
            </w:r>
            <w:r/>
          </w:p>
        </w:tc>
      </w:tr>
      <w:tr>
        <w:tblPrEx/>
        <w:trPr>
          <w:trHeight w:val="1398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41013403000004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 бытовой </w:t>
            </w:r>
            <w:r>
              <w:t xml:space="preserve">(сплит-</w:t>
            </w:r>
            <w:r>
              <w:t xml:space="preserve">система) DAICONDWINODN-07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26 891,00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01-68-14 от 19.02.2024,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27.02.2024 № 99</w:t>
            </w:r>
            <w:r/>
          </w:p>
        </w:tc>
      </w:tr>
      <w:tr>
        <w:tblPrEx/>
        <w:trPr>
          <w:trHeight w:val="1307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399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41013402000436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27 "Монобл</w:t>
            </w:r>
            <w:r>
              <w:t xml:space="preserve">ок iRU Office 27IH5Pa FuII HD,I</w:t>
            </w:r>
            <w:r>
              <w:rPr>
                <w:lang w:val="en-US"/>
              </w:rPr>
              <w:t xml:space="preserve">n</w:t>
            </w:r>
            <w:r>
              <w:t xml:space="preserve">tel Core I5 11400,16ГБDDR4,512ГБ,SSD, Free DOS черный, клавиатура, мышь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59 340,00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01-68-11 от 08.02.2024,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28.02.2024 № 118</w:t>
            </w:r>
            <w:r/>
          </w:p>
        </w:tc>
      </w:tr>
      <w:tr>
        <w:tblPrEx/>
        <w:trPr>
          <w:trHeight w:val="1328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r>
              <w:t xml:space="preserve">41013402000437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27 "Монобл</w:t>
            </w:r>
            <w:r>
              <w:t xml:space="preserve">ок iRU Office 27IH5Pa FuII HD,In</w:t>
            </w:r>
            <w:r>
              <w:t xml:space="preserve">tel Core I5 11400,16ГБDDR4,512ГБ,SSD, Free DOS черный, клавиатура, мышь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59 340,00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01-68-11 от 08.02.2024,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28.02.2024 № 118</w:t>
            </w:r>
            <w:r/>
          </w:p>
        </w:tc>
      </w:tr>
      <w:tr>
        <w:tblPrEx/>
        <w:trPr>
          <w:trHeight w:val="1176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21013606000010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Комплект офисной мебели, ЛДСП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99 704,42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01-68-19 от 13.03.2024, универсальный передаточный документ </w:t>
            </w:r>
            <w:r/>
          </w:p>
          <w:p>
            <w:pPr>
              <w:jc w:val="center"/>
            </w:pPr>
            <w:r>
              <w:t xml:space="preserve">от 08.04.2024 № 9</w:t>
            </w:r>
            <w:r/>
          </w:p>
        </w:tc>
      </w:tr>
      <w:tr>
        <w:tblPrEx/>
        <w:trPr>
          <w:trHeight w:val="981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21013403000002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</w:t>
            </w:r>
            <w:r/>
          </w:p>
          <w:p>
            <w:pPr>
              <w:jc w:val="center"/>
            </w:pPr>
            <w:r>
              <w:t xml:space="preserve">бытовой</w:t>
            </w:r>
            <w:r/>
          </w:p>
          <w:p>
            <w:pPr>
              <w:jc w:val="center"/>
            </w:pPr>
            <w:r>
              <w:t xml:space="preserve">(сплит</w:t>
            </w:r>
            <w:r>
              <w:t xml:space="preserve">-</w:t>
            </w:r>
            <w:r>
              <w:t xml:space="preserve">система)</w:t>
            </w:r>
            <w:r/>
          </w:p>
          <w:p>
            <w:pPr>
              <w:jc w:val="center"/>
            </w:pPr>
            <w:r>
              <w:t xml:space="preserve">Ballu</w:t>
            </w:r>
            <w:r/>
          </w:p>
          <w:p>
            <w:pPr>
              <w:jc w:val="center"/>
            </w:pPr>
            <w:r>
              <w:t xml:space="preserve">BALLU</w:t>
            </w:r>
            <w:r/>
          </w:p>
          <w:p>
            <w:pPr>
              <w:jc w:val="center"/>
            </w:pPr>
            <w:r>
              <w:t xml:space="preserve">BSVI07HN8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48 546,00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01-68-17 от 12.03.2024, универсальный передаточный документ</w:t>
            </w:r>
            <w:r/>
          </w:p>
          <w:p>
            <w:pPr>
              <w:jc w:val="center"/>
            </w:pPr>
            <w:r>
              <w:t xml:space="preserve">от 17.04.2024 № 236</w:t>
            </w:r>
            <w:r/>
          </w:p>
        </w:tc>
      </w:tr>
      <w:tr>
        <w:tblPrEx/>
        <w:trPr>
          <w:trHeight w:val="416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21013403000003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</w:t>
            </w:r>
            <w:r/>
          </w:p>
          <w:p>
            <w:pPr>
              <w:jc w:val="center"/>
            </w:pPr>
            <w:r>
              <w:t xml:space="preserve">бытовой</w:t>
            </w:r>
            <w:r/>
          </w:p>
          <w:p>
            <w:pPr>
              <w:jc w:val="center"/>
            </w:pPr>
            <w:r>
              <w:t xml:space="preserve">(сплит</w:t>
            </w:r>
            <w:r>
              <w:t xml:space="preserve">-</w:t>
            </w:r>
            <w:r>
              <w:t xml:space="preserve">система)</w:t>
            </w:r>
            <w:r/>
          </w:p>
          <w:p>
            <w:pPr>
              <w:jc w:val="center"/>
            </w:pPr>
            <w:r>
              <w:t xml:space="preserve">DAICOND ODYS</w:t>
            </w:r>
            <w:r/>
          </w:p>
          <w:p>
            <w:pPr>
              <w:jc w:val="center"/>
            </w:pPr>
            <w:r>
              <w:t xml:space="preserve">DNOS07NW/IDU/DNOS07NW/ODU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31 450,00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01-68-43 от 14.06.2024, универсальный передаточный документ</w:t>
            </w:r>
            <w:r/>
          </w:p>
          <w:p>
            <w:pPr>
              <w:jc w:val="center"/>
            </w:pPr>
            <w:r>
              <w:t xml:space="preserve">от 01.07.2024 № 518</w:t>
            </w:r>
            <w:r/>
          </w:p>
        </w:tc>
      </w:tr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21013403000005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</w:t>
            </w:r>
            <w:r/>
          </w:p>
          <w:p>
            <w:pPr>
              <w:jc w:val="center"/>
            </w:pPr>
            <w:r>
              <w:t xml:space="preserve">бытовой</w:t>
            </w:r>
            <w:r/>
          </w:p>
          <w:p>
            <w:pPr>
              <w:jc w:val="center"/>
            </w:pPr>
            <w:r>
              <w:t xml:space="preserve">(сплит</w:t>
            </w:r>
            <w:r>
              <w:t xml:space="preserve">-</w:t>
            </w:r>
            <w:r>
              <w:t xml:space="preserve">система)</w:t>
            </w:r>
            <w:r/>
          </w:p>
          <w:p>
            <w:pPr>
              <w:jc w:val="center"/>
            </w:pPr>
            <w:r>
              <w:t xml:space="preserve">DAICOND ODYS</w:t>
            </w:r>
            <w:r/>
          </w:p>
          <w:p>
            <w:pPr>
              <w:jc w:val="center"/>
            </w:pPr>
            <w:r>
              <w:t xml:space="preserve">DNOS07NW/IDU/DNOS07NW/ODU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31 450,00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01-68-43 от 14.06.2024, универсальный передаточный документ</w:t>
            </w:r>
            <w:r/>
          </w:p>
          <w:p>
            <w:pPr>
              <w:jc w:val="center"/>
            </w:pPr>
            <w:r>
              <w:t xml:space="preserve">от 01.07.2024 № 518</w:t>
            </w:r>
            <w:r/>
          </w:p>
        </w:tc>
      </w:tr>
      <w:tr>
        <w:tblPrEx/>
        <w:trPr>
          <w:trHeight w:val="2404"/>
        </w:trPr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21013403000004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</w:t>
            </w:r>
            <w:r/>
          </w:p>
          <w:p>
            <w:pPr>
              <w:jc w:val="center"/>
            </w:pPr>
            <w:r>
              <w:t xml:space="preserve">бытовой</w:t>
            </w:r>
            <w:r/>
          </w:p>
          <w:p>
            <w:pPr>
              <w:jc w:val="center"/>
            </w:pPr>
            <w:r>
              <w:t xml:space="preserve">(сплит</w:t>
            </w:r>
            <w:r>
              <w:t xml:space="preserve">-</w:t>
            </w:r>
            <w:r>
              <w:t xml:space="preserve">система)</w:t>
            </w:r>
            <w:r/>
          </w:p>
          <w:p>
            <w:pPr>
              <w:jc w:val="center"/>
            </w:pPr>
            <w:r>
              <w:t xml:space="preserve">DAICOND ODYS</w:t>
            </w:r>
            <w:r/>
          </w:p>
          <w:p>
            <w:pPr>
              <w:jc w:val="center"/>
            </w:pPr>
            <w:r>
              <w:t xml:space="preserve">DNOS09NW/IDU/DNOS09NW/ODU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33 450,00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01-68-43 от 14.06.2024, универсальный передаточный документ</w:t>
            </w:r>
            <w:r/>
          </w:p>
          <w:p>
            <w:pPr>
              <w:jc w:val="center"/>
            </w:pPr>
            <w:r>
              <w:t xml:space="preserve">от 01.07.2024 № 518</w:t>
            </w:r>
            <w:r/>
          </w:p>
        </w:tc>
      </w:tr>
      <w:tr>
        <w:tblPrEx/>
        <w:trPr/>
        <w:tc>
          <w:tcPr>
            <w:tcW w:w="411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</w:pPr>
            <w:r>
              <w:t xml:space="preserve">21013403000006</w:t>
            </w:r>
            <w:r/>
          </w:p>
        </w:tc>
        <w:tc>
          <w:tcPr>
            <w:tcW w:w="770" w:type="pct"/>
            <w:textDirection w:val="lrTb"/>
            <w:noWrap w:val="false"/>
          </w:tcPr>
          <w:p>
            <w:pPr>
              <w:jc w:val="center"/>
            </w:pPr>
            <w:r>
              <w:t xml:space="preserve">Кондиционер</w:t>
            </w:r>
            <w:r/>
          </w:p>
          <w:p>
            <w:pPr>
              <w:jc w:val="center"/>
            </w:pPr>
            <w:r>
              <w:t xml:space="preserve">бытовой</w:t>
            </w:r>
            <w:r/>
          </w:p>
          <w:p>
            <w:pPr>
              <w:jc w:val="center"/>
            </w:pPr>
            <w:r>
              <w:t xml:space="preserve">(сплит</w:t>
            </w:r>
            <w:r>
              <w:t xml:space="preserve">-</w:t>
            </w:r>
            <w:r>
              <w:t xml:space="preserve">система)</w:t>
            </w:r>
            <w:r/>
          </w:p>
          <w:p>
            <w:pPr>
              <w:jc w:val="center"/>
            </w:pPr>
            <w:r>
              <w:t xml:space="preserve">DAICOND ODYS</w:t>
            </w:r>
            <w:r/>
          </w:p>
          <w:p>
            <w:pPr>
              <w:jc w:val="center"/>
            </w:pPr>
            <w:r>
              <w:t xml:space="preserve">DNOS09NW/IDU/DNOS09NW/ODU</w:t>
            </w:r>
            <w:r/>
          </w:p>
        </w:tc>
        <w:tc>
          <w:tcPr>
            <w:tcW w:w="272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627" w:type="pct"/>
            <w:textDirection w:val="lrTb"/>
            <w:noWrap w:val="false"/>
          </w:tcPr>
          <w:p>
            <w:pPr>
              <w:jc w:val="center"/>
            </w:pPr>
            <w:r>
              <w:t xml:space="preserve">33 450,00</w:t>
            </w:r>
            <w:r/>
          </w:p>
        </w:tc>
        <w:tc>
          <w:tcPr>
            <w:tcW w:w="374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495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2" w:type="pct"/>
            <w:textDirection w:val="lrTb"/>
            <w:noWrap w:val="false"/>
          </w:tcPr>
          <w:p>
            <w:pPr>
              <w:jc w:val="center"/>
            </w:pPr>
            <w:r>
              <w:t xml:space="preserve">Договор № 01-68-43 от 14.06.2024, универсальный передаточный документ</w:t>
            </w:r>
            <w:r/>
          </w:p>
          <w:p>
            <w:pPr>
              <w:jc w:val="center"/>
            </w:pPr>
            <w:r>
              <w:t xml:space="preserve">от 01.07.2024 № 518</w:t>
            </w:r>
            <w:r/>
          </w:p>
        </w:tc>
      </w:tr>
    </w:tbl>
    <w:p>
      <w:pPr>
        <w:pStyle w:val="87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</w:t>
      </w:r>
      <w:bookmarkStart w:id="0" w:name="_GoBack"/>
      <w:r/>
      <w:bookmarkEnd w:id="0"/>
      <w:r>
        <w:rPr>
          <w:sz w:val="28"/>
          <w:szCs w:val="28"/>
        </w:rPr>
        <w:t xml:space="preserve">троку «Итого»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1"/>
        <w:gridCol w:w="2411"/>
        <w:gridCol w:w="1275"/>
        <w:gridCol w:w="568"/>
        <w:gridCol w:w="2232"/>
      </w:tblGrid>
      <w:tr>
        <w:tblPrEx/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312" w:type="pct"/>
            <w:textDirection w:val="lrTb"/>
            <w:noWrap w:val="false"/>
          </w:tcPr>
          <w:p>
            <w:pPr>
              <w:pStyle w:val="875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89" w:type="pct"/>
            <w:textDirection w:val="lrTb"/>
            <w:noWrap w:val="false"/>
          </w:tcPr>
          <w:p>
            <w:pPr>
              <w:pStyle w:val="875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360</w:t>
            </w:r>
            <w:r>
              <w:rPr>
                <w:color w:val="ff0000"/>
                <w:szCs w:val="24"/>
              </w:rPr>
            </w:r>
            <w:r>
              <w:rPr>
                <w:color w:val="ff0000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89" w:type="pct"/>
            <w:textDirection w:val="lrTb"/>
            <w:noWrap w:val="false"/>
          </w:tcPr>
          <w:p>
            <w:pPr>
              <w:pStyle w:val="875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</w:rPr>
              <w:t xml:space="preserve">5 999 003,96</w:t>
            </w:r>
            <w:r>
              <w:rPr>
                <w:color w:val="ff0000"/>
                <w:szCs w:val="24"/>
                <w:highlight w:val="yellow"/>
              </w:rPr>
            </w:r>
            <w:r>
              <w:rPr>
                <w:color w:val="ff0000"/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29" w:type="pct"/>
            <w:textDirection w:val="lrTb"/>
            <w:noWrap w:val="false"/>
          </w:tcPr>
          <w:p>
            <w:pPr>
              <w:pStyle w:val="875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8 856,31</w:t>
            </w:r>
            <w:r>
              <w:rPr>
                <w:szCs w:val="24"/>
                <w:highlight w:val="yellow"/>
              </w:rPr>
            </w:r>
            <w:r>
              <w:rPr>
                <w:szCs w:val="24"/>
                <w:highlight w:val="yellow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0" w:type="pct"/>
            <w:textDirection w:val="lrTb"/>
            <w:noWrap w:val="false"/>
          </w:tcPr>
          <w:p>
            <w:pPr>
              <w:pStyle w:val="875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01" w:type="pct"/>
            <w:textDirection w:val="lrTb"/>
            <w:noWrap w:val="false"/>
          </w:tcPr>
          <w:p>
            <w:pPr>
              <w:pStyle w:val="875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7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13611585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4"/>
    <w:link w:val="696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4"/>
    <w:link w:val="717"/>
    <w:uiPriority w:val="10"/>
    <w:rPr>
      <w:sz w:val="48"/>
      <w:szCs w:val="48"/>
    </w:rPr>
  </w:style>
  <w:style w:type="character" w:styleId="689">
    <w:name w:val="Subtitle Char"/>
    <w:basedOn w:val="704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Footnote Text Char"/>
    <w:link w:val="855"/>
    <w:uiPriority w:val="99"/>
    <w:rPr>
      <w:sz w:val="18"/>
    </w:rPr>
  </w:style>
  <w:style w:type="character" w:styleId="693">
    <w:name w:val="Endnote Text Char"/>
    <w:link w:val="858"/>
    <w:uiPriority w:val="99"/>
    <w:rPr>
      <w:sz w:val="20"/>
    </w:rPr>
  </w:style>
  <w:style w:type="paragraph" w:styleId="694" w:default="1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6">
    <w:name w:val="Heading 2"/>
    <w:basedOn w:val="694"/>
    <w:next w:val="694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Заголовок 1 Знак"/>
    <w:basedOn w:val="704"/>
    <w:link w:val="695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4"/>
    <w:next w:val="694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Название Знак"/>
    <w:basedOn w:val="704"/>
    <w:link w:val="717"/>
    <w:uiPriority w:val="10"/>
    <w:rPr>
      <w:sz w:val="48"/>
      <w:szCs w:val="48"/>
    </w:rPr>
  </w:style>
  <w:style w:type="paragraph" w:styleId="719">
    <w:name w:val="Subtitle"/>
    <w:basedOn w:val="694"/>
    <w:next w:val="694"/>
    <w:link w:val="720"/>
    <w:uiPriority w:val="11"/>
    <w:qFormat/>
    <w:pPr>
      <w:spacing w:before="200" w:after="200"/>
    </w:pPr>
  </w:style>
  <w:style w:type="character" w:styleId="720" w:customStyle="1">
    <w:name w:val="Подзаголовок Знак"/>
    <w:basedOn w:val="704"/>
    <w:link w:val="719"/>
    <w:uiPriority w:val="11"/>
    <w:rPr>
      <w:sz w:val="24"/>
      <w:szCs w:val="24"/>
    </w:rPr>
  </w:style>
  <w:style w:type="paragraph" w:styleId="721">
    <w:name w:val="Quote"/>
    <w:basedOn w:val="694"/>
    <w:next w:val="694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4"/>
    <w:next w:val="694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4"/>
    <w:uiPriority w:val="99"/>
  </w:style>
  <w:style w:type="character" w:styleId="726" w:customStyle="1">
    <w:name w:val="Footer Char"/>
    <w:basedOn w:val="704"/>
    <w:uiPriority w:val="99"/>
  </w:style>
  <w:style w:type="character" w:styleId="727" w:customStyle="1">
    <w:name w:val="Caption Char"/>
    <w:uiPriority w:val="99"/>
  </w:style>
  <w:style w:type="table" w:styleId="728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694"/>
    <w:link w:val="856"/>
    <w:uiPriority w:val="99"/>
    <w:semiHidden/>
    <w:unhideWhenUsed/>
    <w:pPr>
      <w:spacing w:after="40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704"/>
    <w:uiPriority w:val="99"/>
    <w:unhideWhenUsed/>
    <w:rPr>
      <w:vertAlign w:val="superscript"/>
    </w:rPr>
  </w:style>
  <w:style w:type="paragraph" w:styleId="858">
    <w:name w:val="endnote text"/>
    <w:basedOn w:val="694"/>
    <w:link w:val="859"/>
    <w:uiPriority w:val="99"/>
    <w:semiHidden/>
    <w:unhideWhenUsed/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704"/>
    <w:uiPriority w:val="99"/>
    <w:semiHidden/>
    <w:unhideWhenUsed/>
    <w:rPr>
      <w:vertAlign w:val="superscript"/>
    </w:rPr>
  </w:style>
  <w:style w:type="paragraph" w:styleId="861">
    <w:name w:val="toc 1"/>
    <w:basedOn w:val="694"/>
    <w:next w:val="694"/>
    <w:uiPriority w:val="39"/>
    <w:unhideWhenUsed/>
    <w:pPr>
      <w:spacing w:after="57"/>
    </w:pPr>
  </w:style>
  <w:style w:type="paragraph" w:styleId="86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4"/>
    <w:next w:val="694"/>
    <w:uiPriority w:val="99"/>
    <w:unhideWhenUsed/>
  </w:style>
  <w:style w:type="character" w:styleId="872">
    <w:name w:val="Strong"/>
    <w:basedOn w:val="704"/>
    <w:uiPriority w:val="22"/>
    <w:qFormat/>
    <w:rPr>
      <w:b/>
      <w:bCs/>
    </w:rPr>
  </w:style>
  <w:style w:type="paragraph" w:styleId="873">
    <w:name w:val="List Paragraph"/>
    <w:basedOn w:val="694"/>
    <w:link w:val="874"/>
    <w:uiPriority w:val="99"/>
    <w:qFormat/>
    <w:pPr>
      <w:contextualSpacing/>
      <w:ind w:left="720"/>
    </w:pPr>
    <w:rPr>
      <w:rFonts w:eastAsia="Times New Roman" w:cs="Times New Roman"/>
    </w:rPr>
  </w:style>
  <w:style w:type="character" w:styleId="874" w:customStyle="1">
    <w:name w:val="Абзац списка Знак"/>
    <w:link w:val="87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6">
    <w:name w:val="Caption"/>
    <w:basedOn w:val="694"/>
    <w:next w:val="694"/>
    <w:qFormat/>
    <w:pPr>
      <w:jc w:val="center"/>
      <w:spacing w:line="360" w:lineRule="exact"/>
      <w:widowControl w:val="off"/>
    </w:pPr>
    <w:rPr>
      <w:rFonts w:eastAsia="Times New Roman" w:cs="Times New Roman"/>
      <w:b/>
      <w:sz w:val="32"/>
      <w:szCs w:val="20"/>
    </w:rPr>
  </w:style>
  <w:style w:type="paragraph" w:styleId="877">
    <w:name w:val="Header"/>
    <w:basedOn w:val="694"/>
    <w:link w:val="878"/>
    <w:uiPriority w:val="99"/>
    <w:pPr>
      <w:tabs>
        <w:tab w:val="center" w:pos="4153" w:leader="none"/>
        <w:tab w:val="right" w:pos="8306" w:leader="none"/>
      </w:tabs>
    </w:pPr>
    <w:rPr>
      <w:rFonts w:eastAsia="Times New Roman" w:cs="Times New Roman"/>
      <w:sz w:val="20"/>
      <w:szCs w:val="20"/>
    </w:rPr>
  </w:style>
  <w:style w:type="character" w:styleId="878" w:customStyle="1">
    <w:name w:val="Верхний колонтитул Знак"/>
    <w:basedOn w:val="704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>
    <w:name w:val="Balloon Text"/>
    <w:basedOn w:val="694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704"/>
    <w:link w:val="87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81">
    <w:name w:val="Footer"/>
    <w:basedOn w:val="694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704"/>
    <w:link w:val="881"/>
    <w:uiPriority w:val="99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144871" TargetMode="External"/><Relationship Id="rId14" Type="http://schemas.openxmlformats.org/officeDocument/2006/relationships/hyperlink" Target="https://login.consultant.ru/link/?req=doc&amp;base=REXP368&amp;n=7410&amp;dst=100029" TargetMode="External"/><Relationship Id="rId15" Type="http://schemas.openxmlformats.org/officeDocument/2006/relationships/hyperlink" Target="https://login.consultant.ru/link/?req=doc&amp;base=REXP368&amp;n=7410&amp;dst=100029" TargetMode="External"/><Relationship Id="rId16" Type="http://schemas.openxmlformats.org/officeDocument/2006/relationships/hyperlink" Target="https://login.consultant.ru/link/?req=doc&amp;base=REXP368&amp;n=7410&amp;dst=1000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1F37-6CD2-4B88-A552-627AE3A9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samokhvalova-ev</cp:lastModifiedBy>
  <cp:revision>116</cp:revision>
  <dcterms:created xsi:type="dcterms:W3CDTF">2022-08-29T07:54:00Z</dcterms:created>
  <dcterms:modified xsi:type="dcterms:W3CDTF">2024-11-25T04:35:56Z</dcterms:modified>
</cp:coreProperties>
</file>