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Положение о комиссии по рассмотрению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архитектурно-градостроительного облика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объекта капитального 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Перми, утвержденное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постановлением администрации</w:t>
        <w:br/>
        <w:t xml:space="preserve">города Перми от 10.10.2023 № 965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«О создании </w:t>
      </w:r>
      <w:r>
        <w:rPr>
          <w:b/>
          <w:sz w:val="28"/>
          <w:szCs w:val="28"/>
        </w:rPr>
        <w:t xml:space="preserve">комиссии по рассмотрению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архитектурно-градостроительного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облика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объекта капитального строительства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</w:t>
      </w:r>
      <w:r>
        <w:rPr>
          <w:b w:val="0"/>
          <w:bCs w:val="0"/>
          <w:sz w:val="28"/>
          <w:szCs w:val="28"/>
        </w:rPr>
        <w:t xml:space="preserve">и в</w:t>
      </w:r>
      <w:r>
        <w:rPr>
          <w:b w:val="0"/>
          <w:bCs w:val="0"/>
          <w:sz w:val="28"/>
          <w:szCs w:val="28"/>
        </w:rPr>
        <w:t xml:space="preserve"> Положение о комиссии по рассмотрению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архитектурно-градостроительного облика </w:t>
      </w:r>
      <w:r>
        <w:rPr>
          <w:b w:val="0"/>
          <w:bCs w:val="0"/>
          <w:sz w:val="28"/>
          <w:szCs w:val="28"/>
        </w:rPr>
        <w:t xml:space="preserve">объекта капитального строительства </w:t>
      </w:r>
      <w:r>
        <w:rPr>
          <w:b w:val="0"/>
          <w:bCs w:val="0"/>
          <w:sz w:val="28"/>
          <w:szCs w:val="28"/>
        </w:rPr>
        <w:t xml:space="preserve">на территории города Перми, утвержденное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постановление администрации города Пер</w:t>
      </w:r>
      <w:r>
        <w:rPr>
          <w:sz w:val="28"/>
          <w:szCs w:val="28"/>
        </w:rPr>
        <w:t xml:space="preserve">ми от 10 октября 2023 г. № 965 «О создании комиссии по рассмотрению архитектурно-градостроительного облика объекта капитального строительства на территории города Перми» </w:t>
      </w:r>
      <w:r>
        <w:rPr>
          <w:sz w:val="28"/>
          <w:szCs w:val="28"/>
        </w:rPr>
        <w:t xml:space="preserve">(в ред. от 19.12.2023 № 1439, от 08.08.2024 № 631), следующие изменения: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2.1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«2.1. Функциями Комиссии являются: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2.1.1. рассмотрение поступивших в рамках муниципальной услуги «Предоставление решения о согласовании архитектурно-градостроительного облика объекта капитального строительства» разделов проектной документации объекта капитального строительства: пояснительно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записки, схемы планировочной организации земельного уч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астка, объемно-планировочных и архитектурных решений (далее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разделы проектной документации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на соответств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требованиям к содержанию разделов про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ектной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кументации объекта капитального строительства, установленным постановлением Правительства Российской Федерации от 16 февраля 2008 г. № 87 «О составе разделов проектной документации и требованиях к их содержанию» (далее – постановление Правительства </w:t>
        <w:br/>
        <w:t xml:space="preserve">№ 87);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требованиям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архитектурно-градостроительному облику объекта капитального строительства, указанным в градостроительном регламенте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Правил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землепользования и застройки города Перми, утвержденных решением Пермской городской Думы от 26 июня 2007 г. № 143 (далее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Правила землепользования);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рассматриваемого архитектурного решения объекта капита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льного 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роительства, определяющего его архитектурно-градостроительный облик и содержащегося в разделах проектной документации, его функциональному назначению, с учетом вида разрешенного использования земельного участка;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2.1.2. подгото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вка протокола содержащего: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рекомендации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принятию решения о согласовании (отказе в согласовании)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архитектурно-градостроительного облика объекта капитального строительства на территории города Перми, в том числе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соответствии (несоответствии) рассматриваемого архитектурно-градостроительного облика объекта капитального строительства на территории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требованиям, указанным в пункте 2.1.1 настоящего Положения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обоснование несоответствия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рассматриваемого архитектурно-градостроительного облика объекта капитального строительства на территории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требованиям, указанным в пункте 2.1.1 настоящего Положения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предложения (при необходимости) по доработке разделов проектной документации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(в случае установления несоответствия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рассматриваемого архитектурно-градостроительного облика объекта капитального строительства на территории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требованиям, указанным в пункте 2.1.1 настоящего Положения)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left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.2. пункт 2.2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 Рассмотрение разделов проектной документации на соответствие требованиям к архитектурно-градостроительному облику объекта капитального строительства на территории города Перми осуществляется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равительства Российской Федерации от 29 мая 2023 г.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ва», постановлением Правительства № 87, Правилами землепользования.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3.3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«3.3. Состав Комиссии фо</w:t>
      </w:r>
      <w:r>
        <w:rPr>
          <w:sz w:val="28"/>
          <w:szCs w:val="28"/>
          <w:highlight w:val="none"/>
        </w:rPr>
        <w:t xml:space="preserve">рмируется из представителей федеральных органов исполнительной власти Российской Федерации, исполнительных органов государственной власти Пермского края, представителей государственного бюджетного учреждения Пермского края «Институт территориального планир</w:t>
      </w:r>
      <w:r>
        <w:rPr>
          <w:sz w:val="28"/>
          <w:szCs w:val="28"/>
          <w:highlight w:val="none"/>
        </w:rPr>
        <w:t xml:space="preserve">ования», депутатов Пермской городской Думы, представителей Департамента, представителей общественных объединений и организаций, осуществляющих деятельность в сфере градостроительства и архитектуры, и утверждается постановлением администрации города Перми.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пункт 3.7.1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«3.7.1. участвуют в рассмотрении архитектурно-градостроительного облика объекта капитального строительства на территории города Перми и выдаче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рекомендаций по принятию решения о согласовании (отказе в согласовании)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архитектурно-градостроительного облика объекта капитального строительства на территории города Перми</w:t>
      </w:r>
      <w:r>
        <w:rPr>
          <w:sz w:val="28"/>
          <w:szCs w:val="28"/>
          <w:highlight w:val="none"/>
        </w:rPr>
        <w:t xml:space="preserve">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пункт 3.7.2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«3.7.2.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участвуют в подготовке обоснования несоответствия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рассматриваемого архитектурно-градостроительного облика объекта капитального строительства на территории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требованиям, указанным в пункте 2.1.1 настоящего Положения</w:t>
      </w:r>
      <w:r>
        <w:rPr>
          <w:sz w:val="28"/>
          <w:szCs w:val="28"/>
          <w:highlight w:val="none"/>
        </w:rPr>
        <w:t xml:space="preserve">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пункт 3.7.3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«3.7.3. осуществляют подготовку предложений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необходимости) по доработке разделов проектной документаци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(в случае установления несоответствия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рассматриваемого архитектурно-градостроительного облика объекта капитального строительства на территории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требованиям, указанным в пункте 2.1.1 настоящего Положения)</w:t>
      </w:r>
      <w:r>
        <w:rPr>
          <w:sz w:val="28"/>
          <w:szCs w:val="28"/>
        </w:rPr>
        <w:t xml:space="preserve">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>
        <w:numFmt w:val="chicago"/>
      </w:footnotePr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4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719"/>
    <w:next w:val="71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719"/>
    <w:next w:val="71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719"/>
    <w:next w:val="71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00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4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7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link w:val="100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1">
    <w:name w:val="Heading 2"/>
    <w:basedOn w:val="719"/>
    <w:next w:val="719"/>
    <w:link w:val="9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2">
    <w:name w:val="Heading 3"/>
    <w:basedOn w:val="719"/>
    <w:next w:val="719"/>
    <w:link w:val="1007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Title Char"/>
    <w:basedOn w:val="723"/>
    <w:uiPriority w:val="10"/>
    <w:rPr>
      <w:sz w:val="48"/>
      <w:szCs w:val="48"/>
    </w:rPr>
  </w:style>
  <w:style w:type="character" w:styleId="727" w:customStyle="1">
    <w:name w:val="Subtitle Char"/>
    <w:basedOn w:val="723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paragraph" w:styleId="730" w:customStyle="1">
    <w:name w:val="Заголовок 11"/>
    <w:basedOn w:val="719"/>
    <w:next w:val="719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Заголовок 21"/>
    <w:basedOn w:val="719"/>
    <w:next w:val="71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Заголовок 31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Заголовок 41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Заголовок 51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Заголовок 61"/>
    <w:basedOn w:val="719"/>
    <w:next w:val="71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Заголовок 71"/>
    <w:basedOn w:val="719"/>
    <w:next w:val="71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Заголовок 81"/>
    <w:basedOn w:val="719"/>
    <w:next w:val="71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Заголовок 91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0">
    <w:name w:val="Title"/>
    <w:basedOn w:val="719"/>
    <w:next w:val="719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19"/>
    <w:next w:val="719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19"/>
    <w:next w:val="719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9"/>
    <w:next w:val="719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 w:customStyle="1">
    <w:name w:val="Верхний колонтитул1"/>
    <w:basedOn w:val="719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Header Char"/>
    <w:link w:val="758"/>
    <w:uiPriority w:val="99"/>
  </w:style>
  <w:style w:type="paragraph" w:styleId="760" w:customStyle="1">
    <w:name w:val="Нижний колонтитул1"/>
    <w:basedOn w:val="719"/>
    <w:link w:val="76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uiPriority w:val="99"/>
  </w:style>
  <w:style w:type="paragraph" w:styleId="762" w:customStyle="1">
    <w:name w:val="Название объекта1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 w:customStyle="1">
    <w:name w:val="Caption Char"/>
    <w:link w:val="760"/>
    <w:uiPriority w:val="99"/>
  </w:style>
  <w:style w:type="table" w:styleId="764">
    <w:name w:val="Table Grid"/>
    <w:basedOn w:val="72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/>
      <w:u w:val="single"/>
    </w:rPr>
  </w:style>
  <w:style w:type="paragraph" w:styleId="891">
    <w:name w:val="footnote text"/>
    <w:basedOn w:val="719"/>
    <w:link w:val="1003"/>
  </w:style>
  <w:style w:type="character" w:styleId="892" w:customStyle="1">
    <w:name w:val="Footnote Text Char"/>
    <w:uiPriority w:val="99"/>
    <w:rPr>
      <w:sz w:val="18"/>
    </w:rPr>
  </w:style>
  <w:style w:type="character" w:styleId="893">
    <w:name w:val="footnote reference"/>
    <w:rPr>
      <w:vertAlign w:val="superscript"/>
    </w:rPr>
  </w:style>
  <w:style w:type="paragraph" w:styleId="894">
    <w:name w:val="endnote text"/>
    <w:basedOn w:val="719"/>
    <w:link w:val="1004"/>
  </w:style>
  <w:style w:type="character" w:styleId="895" w:customStyle="1">
    <w:name w:val="Endnote Text Char"/>
    <w:uiPriority w:val="99"/>
    <w:rPr>
      <w:sz w:val="20"/>
    </w:rPr>
  </w:style>
  <w:style w:type="character" w:styleId="896">
    <w:name w:val="endnote reference"/>
    <w:rPr>
      <w:vertAlign w:val="superscript"/>
    </w:rPr>
  </w:style>
  <w:style w:type="paragraph" w:styleId="897">
    <w:name w:val="toc 1"/>
    <w:basedOn w:val="719"/>
    <w:next w:val="719"/>
    <w:uiPriority w:val="39"/>
    <w:unhideWhenUsed/>
    <w:pPr>
      <w:spacing w:after="57"/>
    </w:pPr>
  </w:style>
  <w:style w:type="paragraph" w:styleId="898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9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00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01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02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03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04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05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19"/>
    <w:next w:val="719"/>
    <w:uiPriority w:val="99"/>
    <w:unhideWhenUsed/>
  </w:style>
  <w:style w:type="paragraph" w:styleId="908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Body Text"/>
    <w:basedOn w:val="719"/>
    <w:link w:val="935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Body Text Indent"/>
    <w:basedOn w:val="719"/>
    <w:pPr>
      <w:ind w:right="-1"/>
      <w:jc w:val="both"/>
    </w:pPr>
    <w:rPr>
      <w:sz w:val="26"/>
    </w:rPr>
  </w:style>
  <w:style w:type="paragraph" w:styleId="911">
    <w:name w:val="Footer"/>
    <w:basedOn w:val="719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912">
    <w:name w:val="page number"/>
    <w:basedOn w:val="723"/>
  </w:style>
  <w:style w:type="paragraph" w:styleId="913">
    <w:name w:val="Header"/>
    <w:basedOn w:val="719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Balloon Text"/>
    <w:basedOn w:val="719"/>
    <w:link w:val="915"/>
    <w:uiPriority w:val="99"/>
    <w:rPr>
      <w:rFonts w:ascii="Segoe UI" w:hAnsi="Segoe UI"/>
      <w:sz w:val="18"/>
      <w:szCs w:val="18"/>
      <w:lang w:val="en-US" w:eastAsia="en-US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913"/>
    <w:uiPriority w:val="99"/>
  </w:style>
  <w:style w:type="numbering" w:styleId="917" w:customStyle="1">
    <w:name w:val="Нет списка1"/>
    <w:next w:val="725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  <w:lang w:eastAsia="ru-RU"/>
    </w:rPr>
  </w:style>
  <w:style w:type="character" w:styleId="935" w:customStyle="1">
    <w:name w:val="Основной текст Знак"/>
    <w:link w:val="909"/>
    <w:rPr>
      <w:rFonts w:ascii="Courier New" w:hAnsi="Courier New"/>
      <w:sz w:val="26"/>
    </w:rPr>
  </w:style>
  <w:style w:type="paragraph" w:styleId="936" w:customStyle="1">
    <w:name w:val="ConsPlusNormal"/>
    <w:qFormat/>
    <w:rPr>
      <w:sz w:val="28"/>
      <w:szCs w:val="28"/>
      <w:lang w:eastAsia="ru-RU"/>
    </w:rPr>
  </w:style>
  <w:style w:type="numbering" w:styleId="937" w:customStyle="1">
    <w:name w:val="Нет списка11"/>
    <w:next w:val="725"/>
    <w:uiPriority w:val="99"/>
    <w:semiHidden/>
    <w:unhideWhenUsed/>
  </w:style>
  <w:style w:type="numbering" w:styleId="938" w:customStyle="1">
    <w:name w:val="Нет списка111"/>
    <w:next w:val="725"/>
    <w:uiPriority w:val="99"/>
    <w:semiHidden/>
    <w:unhideWhenUsed/>
  </w:style>
  <w:style w:type="paragraph" w:styleId="93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5"/>
    <w:uiPriority w:val="99"/>
    <w:semiHidden/>
    <w:unhideWhenUsed/>
  </w:style>
  <w:style w:type="numbering" w:styleId="987" w:customStyle="1">
    <w:name w:val="Нет списка3"/>
    <w:next w:val="725"/>
    <w:uiPriority w:val="99"/>
    <w:semiHidden/>
    <w:unhideWhenUsed/>
  </w:style>
  <w:style w:type="paragraph" w:styleId="98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5"/>
    <w:uiPriority w:val="99"/>
    <w:semiHidden/>
    <w:unhideWhenUsed/>
  </w:style>
  <w:style w:type="character" w:styleId="992" w:customStyle="1">
    <w:name w:val="Нижний колонтитул Знак"/>
    <w:link w:val="911"/>
    <w:uiPriority w:val="99"/>
  </w:style>
  <w:style w:type="paragraph" w:styleId="99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9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5" w:customStyle="1">
    <w:name w:val="Заголовок 2 Знак"/>
    <w:link w:val="721"/>
    <w:rPr>
      <w:sz w:val="24"/>
    </w:rPr>
  </w:style>
  <w:style w:type="character" w:styleId="99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97">
    <w:name w:val="annotation reference"/>
    <w:rPr>
      <w:sz w:val="16"/>
      <w:szCs w:val="16"/>
    </w:rPr>
  </w:style>
  <w:style w:type="paragraph" w:styleId="998">
    <w:name w:val="annotation text"/>
    <w:basedOn w:val="719"/>
    <w:link w:val="999"/>
  </w:style>
  <w:style w:type="character" w:styleId="999" w:customStyle="1">
    <w:name w:val="Текст примечания Знак"/>
    <w:basedOn w:val="723"/>
    <w:link w:val="998"/>
  </w:style>
  <w:style w:type="paragraph" w:styleId="1000">
    <w:name w:val="annotation subject"/>
    <w:basedOn w:val="998"/>
    <w:next w:val="998"/>
    <w:link w:val="1001"/>
    <w:rPr>
      <w:b/>
      <w:bCs/>
      <w:lang w:val="en-US" w:eastAsia="en-US"/>
    </w:rPr>
  </w:style>
  <w:style w:type="character" w:styleId="1001" w:customStyle="1">
    <w:name w:val="Тема примечания Знак"/>
    <w:link w:val="1000"/>
    <w:rPr>
      <w:b/>
      <w:bCs/>
      <w:lang w:val="en-US" w:eastAsia="en-US"/>
    </w:rPr>
  </w:style>
  <w:style w:type="character" w:styleId="1002" w:customStyle="1">
    <w:name w:val="Заголовок 1 Знак"/>
    <w:link w:val="720"/>
    <w:rPr>
      <w:sz w:val="24"/>
    </w:rPr>
  </w:style>
  <w:style w:type="character" w:styleId="1003" w:customStyle="1">
    <w:name w:val="Текст сноски Знак"/>
    <w:basedOn w:val="723"/>
    <w:link w:val="891"/>
  </w:style>
  <w:style w:type="character" w:styleId="1004" w:customStyle="1">
    <w:name w:val="Текст концевой сноски Знак"/>
    <w:basedOn w:val="723"/>
    <w:link w:val="894"/>
  </w:style>
  <w:style w:type="paragraph" w:styleId="1005" w:customStyle="1">
    <w:name w:val="Default"/>
    <w:rPr>
      <w:color w:val="000000"/>
      <w:sz w:val="24"/>
      <w:szCs w:val="24"/>
      <w:lang w:eastAsia="ru-RU"/>
    </w:rPr>
  </w:style>
  <w:style w:type="character" w:styleId="1006">
    <w:name w:val="Emphasis"/>
    <w:basedOn w:val="723"/>
    <w:uiPriority w:val="20"/>
    <w:qFormat/>
    <w:rPr>
      <w:i/>
      <w:iCs/>
    </w:rPr>
  </w:style>
  <w:style w:type="character" w:styleId="1007" w:customStyle="1">
    <w:name w:val="Заголовок 3 Знак"/>
    <w:basedOn w:val="723"/>
    <w:link w:val="72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usynina-nv</cp:lastModifiedBy>
  <cp:revision>18</cp:revision>
  <dcterms:created xsi:type="dcterms:W3CDTF">2024-08-07T04:32:00Z</dcterms:created>
  <dcterms:modified xsi:type="dcterms:W3CDTF">2024-11-27T12:28:01Z</dcterms:modified>
  <cp:version>786432</cp:version>
</cp:coreProperties>
</file>