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  <w:t xml:space="preserve">в постановление администрации </w:t>
      </w:r>
      <w:r>
        <w:rPr>
          <w:b/>
          <w:bCs/>
          <w:sz w:val="28"/>
          <w:szCs w:val="28"/>
        </w:rPr>
        <w:br/>
        <w:t xml:space="preserve">города Перми от 07.03.2023 № 180 </w:t>
      </w:r>
      <w:r>
        <w:rPr>
          <w:b/>
          <w:bCs/>
          <w:sz w:val="28"/>
          <w:szCs w:val="28"/>
        </w:rPr>
        <w:br/>
        <w:t xml:space="preserve">«Об утверждении методик расчета </w:t>
      </w:r>
      <w:r>
        <w:rPr>
          <w:b/>
          <w:bCs/>
          <w:sz w:val="28"/>
          <w:szCs w:val="28"/>
        </w:rPr>
        <w:br/>
        <w:t xml:space="preserve">нормативных затрат на выполнение </w:t>
      </w:r>
      <w:r>
        <w:rPr>
          <w:b/>
          <w:bCs/>
          <w:sz w:val="28"/>
          <w:szCs w:val="28"/>
        </w:rPr>
        <w:br/>
        <w:t xml:space="preserve">муниципальных работ в сфере </w:t>
      </w:r>
      <w:r>
        <w:rPr>
          <w:b/>
          <w:bCs/>
          <w:sz w:val="28"/>
          <w:szCs w:val="28"/>
        </w:rPr>
        <w:br/>
        <w:t xml:space="preserve">жилищно-коммунального хозяйства </w:t>
      </w:r>
      <w:r>
        <w:rPr>
          <w:b/>
          <w:bCs/>
          <w:sz w:val="28"/>
          <w:szCs w:val="28"/>
        </w:rPr>
        <w:br/>
        <w:t xml:space="preserve">администрации города Перми </w:t>
      </w:r>
      <w:r>
        <w:rPr>
          <w:b/>
          <w:bCs/>
          <w:sz w:val="28"/>
          <w:szCs w:val="28"/>
        </w:rPr>
        <w:br/>
        <w:t xml:space="preserve">и нормативных затрат </w:t>
      </w:r>
      <w:r>
        <w:rPr>
          <w:b/>
          <w:bCs/>
          <w:sz w:val="28"/>
          <w:szCs w:val="28"/>
        </w:rPr>
        <w:br/>
        <w:t xml:space="preserve">на содержание муниципального </w:t>
      </w:r>
      <w:r>
        <w:rPr>
          <w:b/>
          <w:bCs/>
          <w:sz w:val="28"/>
          <w:szCs w:val="28"/>
        </w:rPr>
        <w:br/>
        <w:t xml:space="preserve">имущества, уплату налогов»</w:t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Бюджетного кодекса Российской Федера</w:t>
      </w:r>
      <w:r>
        <w:rPr>
          <w:sz w:val="28"/>
          <w:szCs w:val="28"/>
        </w:rPr>
        <w:t xml:space="preserve">ции, Федеральным законом от 06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28 ноября 2017 г. № 1596/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 «Об утверждении Общих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определению нормативных затрат на оказание госуда</w:t>
      </w:r>
      <w:r>
        <w:rPr>
          <w:sz w:val="28"/>
          <w:szCs w:val="28"/>
        </w:rPr>
        <w:t xml:space="preserve">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</w:t>
      </w:r>
      <w:r>
        <w:rPr>
          <w:sz w:val="28"/>
          <w:szCs w:val="28"/>
        </w:rPr>
        <w:t xml:space="preserve">ного) задания на оказание государственных (муниципальных) услуг (выполнение работ) государственным (муниципальным) учреждением», Уставом города Перми, решением Пермской городской Думы от 28 августа 2007 г. № 185 «Об утверждении Положения о бюджете и бюджет</w:t>
      </w:r>
      <w:r>
        <w:rPr>
          <w:sz w:val="28"/>
          <w:szCs w:val="28"/>
        </w:rPr>
        <w:t xml:space="preserve">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  <w:r>
        <w:rPr>
          <w:sz w:val="28"/>
          <w:szCs w:val="28"/>
        </w:rPr>
      </w:r>
    </w:p>
    <w:p>
      <w:pPr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марта 2023 г.</w:t>
      </w:r>
      <w:r>
        <w:rPr>
          <w:sz w:val="28"/>
          <w:szCs w:val="28"/>
        </w:rPr>
        <w:br/>
        <w:t xml:space="preserve">№ 180 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26.12.2023 № 1474)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1.1. пункт 1.1 изложить в следующей редакции:</w:t>
      </w:r>
      <w:r/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«1.1. Методику расчета нормативных затрат на выполнение муниципальной работы «Снос аварийных многоквартирных домов» и нормативных затрат на содержание муниципального имущества, уплату налогов;»;</w:t>
      </w:r>
      <w:r/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1.2. пункт 1.2 изложить в следующей редакции:</w:t>
      </w:r>
      <w:r/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«1.2. Методику расчета нормативных затрат на выполнение муниципальной работы «Содержание и ремонт очистных сооружений дождевой (ливневой) канализации» и нормативных затрат на содержание муниципального имущества, уплату налогов;»;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1.3. пункт 1.3 изложить в следующей редакции:</w:t>
      </w:r>
      <w:r/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«1.3. Методику расчета нормативных затрат на выполнение муниципальной работы «Ликвидация несанкционированных свалок» и нормативных затрат на содержание муниципального имущества, уплату налогов;»;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1.4. пункт 1.4 изложить в следующей редакции:</w:t>
      </w:r>
      <w:r/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«1.4. Методику расчета нормативных затрат на выполнение муниципальной работы «Содержание и ремонт системы ливневой канализации, бесхозяйных сетей ливневой канализации» и нормативных затрат на содержание муниципального имущества, уплату налогов.».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2. Внести в Методику расчета нормативных затрат на выполнение муниципальной работы «Снос многоквартирных </w:t>
      </w:r>
      <w:r>
        <w:rPr>
          <w:sz w:val="28"/>
          <w:szCs w:val="28"/>
        </w:rPr>
        <w:t xml:space="preserve">домов, признанных в установленном порядке аварийными и подлежащими сносу, на основании проектов организации работ по сносу» и нормативных затрат на содержание муниципального имущества, уплату налогов, утвержденную постановлением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марта 2023 г. № 180 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26.12.2023 № 1474),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Методика расчета нормативных затрат на выполнение муниципальной работы «Снос аварийных многоквартирных домов» 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слова «Снос многоквартирных домов, признанных в установленном порядке аварийными и подлежащими сносу, на основании проектов организации работ по сносу» заменить словами «Снос аварийных многоквартирных домов»;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2.3. в пункте 1.2 слова «Снос многоквартирных домов, признанных в установленном порядке аварийными и подлежащими сносу, на основании проектов организации работ по сносу» заменить словами «Снос аварийных многоквартирных домов».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3. Внести в Методику расчета нормативных затрат на выполнение муниципальной работы «Содержание и ремонт системы ливневой канализации, бесхозяйных сете</w:t>
      </w:r>
      <w:r>
        <w:rPr>
          <w:sz w:val="28"/>
          <w:szCs w:val="28"/>
        </w:rPr>
        <w:t xml:space="preserve">й ливневой канализации на территориях общего пользования города Перми, в части содержания и ремонта очистных сооружений» и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марта 2023 г. № 180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26.12.2023 № 1474),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3.1. наименование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«Методика расчета нормативных затрат на выполнение муниципальной работы «Содержание и ремонт очистных сооружений дождевой (ливневой) канализации» и нормативных затрат на содержание муниципального имущества, уплату налогов»;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3.2. в пункте 1.1 слова «Содержание и ремонт си</w:t>
      </w:r>
      <w:r>
        <w:rPr>
          <w:sz w:val="28"/>
          <w:szCs w:val="28"/>
        </w:rPr>
        <w:t xml:space="preserve">стемы ливневой канализации, бесхозяйных сетей ливневой канализации на территориях общего пользования города Перми, в части содержания и ремонта очистных сооружений» заменить словами «Содержание и ремонт очистных сооружений дождевой (ливневой) канализации»;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3.3. в пункте 1.2 слова «Содержание и ремонт си</w:t>
      </w:r>
      <w:r>
        <w:rPr>
          <w:sz w:val="28"/>
          <w:szCs w:val="28"/>
        </w:rPr>
        <w:t xml:space="preserve">стемы ливневой канализации, бесхозяйных сетей ливневой канализации на территориях общего пользования города Перми, в части содержания и ремонта очистных сооружений» заменить словами «Содержание и ремонт очистных сооружений дождевой (ливневой) канализации».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4. Внести в Методику расчета нормативных затрат на выполнение муниципальной работы «Ликвидация несанкционированных свалок, выявленных на территории города Перми, в том числе на территории, занятой городскими лесам</w:t>
      </w:r>
      <w:r>
        <w:rPr>
          <w:sz w:val="28"/>
          <w:szCs w:val="28"/>
        </w:rPr>
        <w:t xml:space="preserve">и, за исключением земельных участков, находящихся в собственности, владении, пользовании физических или юридических лиц» и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марта 2023 г. № 180 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26.12.2023 № 1474),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4.1. наименование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«Методика расчета нормативных затрат на выполнение муниципальной работы «Ликвидация несанкционированных свалок» и нормативных затрат на содержание муниципального имущества, уплату налогов»;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4.2. в пункте 1.1 слова «Ликвидация несанкционированных свалок, выявленных н</w:t>
      </w:r>
      <w:r>
        <w:rPr>
          <w:sz w:val="28"/>
          <w:szCs w:val="28"/>
        </w:rPr>
        <w:t xml:space="preserve">а территории города Перми, в том числе на территории, занятой городскими лесами, за исключением земельных участков, находящихся в собственности, владении, пользовании физических или юридических лиц» заменить словами «Ликвидация несанкционированных свалок»;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4.3. в пункте 1.2 слова «Ликвидация несанкционированных свалок, выявленных н</w:t>
      </w:r>
      <w:r>
        <w:rPr>
          <w:sz w:val="28"/>
          <w:szCs w:val="28"/>
        </w:rPr>
        <w:t xml:space="preserve">а территории города Перми, в том числе на территории, занятой городскими лесами, за исключением земельных участков, находящихся в собственности, владении, пользовании физических или юридических лиц» заменить словами «Ликвидация несанкционированных свалок».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5. Внести в Методику расчета нормативных затрат на выполнение муниципальной работы «Содержание и ремонт системы ливневой канализации, бесхозяйных сетей ливне</w:t>
      </w:r>
      <w:r>
        <w:rPr>
          <w:sz w:val="28"/>
          <w:szCs w:val="28"/>
        </w:rPr>
        <w:t xml:space="preserve">вой канализации на территориях общего пользования города Перми, за исключением ремонта и содержания очистных сооружений» и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 марта 2023 г. № 180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26.12.2023 № 1474),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5.1. наименование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«Методика расчета нормативных затрат на выполнение муниципальной работы «Содержание и ремонт системы ливневой канализации, бесхозяйных сетей ливневой канализации» и нормативных затрат на содержание муниципального имущества, уплату налогов»;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5.2. в пункте 1.1 слова «Содержание и ремонт системы ливневой канализац</w:t>
      </w:r>
      <w:r>
        <w:rPr>
          <w:sz w:val="28"/>
          <w:szCs w:val="28"/>
        </w:rPr>
        <w:t xml:space="preserve">ии, бесхозяйных сетей ливневой канализации на территориях общего пользования города Перми, за исключением ремонта и содержания очистных сооружений» заменить словами «Содержание и ремонт системы ливневой канализации, бесхозяйных сетей ливневой канализации»;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5.3. в пункте 1.2 слова «Содержание и ремонт системы ливневой канализац</w:t>
      </w:r>
      <w:r>
        <w:rPr>
          <w:sz w:val="28"/>
          <w:szCs w:val="28"/>
        </w:rPr>
        <w:t xml:space="preserve">ии, бесхозяйных сетей ливневой канализации на территориях общего пользования города Перми, за исключением ремонта и содержания очистных сооружений» заменить словами «Содержание и ремонт системы ливневой канализации, бесхозяйных сетей ливневой канализации».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6.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7.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spacing w:line="235" w:lineRule="auto"/>
      </w:pPr>
      <w:r>
        <w:rPr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Э.О. Соснин</w:t>
      </w:r>
      <w:r>
        <w:rPr>
          <w:sz w:val="28"/>
          <w:szCs w:val="28"/>
        </w:rPr>
        <w:br/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  <w:lang w:eastAsia="ru-RU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  <w:lang w:eastAsia="ru-RU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2024-11-18T12:30:00Z</dcterms:created>
  <dcterms:modified xsi:type="dcterms:W3CDTF">2024-11-29T05:39:58Z</dcterms:modified>
  <cp:version>983040</cp:version>
</cp:coreProperties>
</file>