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1156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1156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6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6"/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6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6"/>
        <w:ind w:right="5387"/>
        <w:spacing w:line="240" w:lineRule="exact"/>
      </w:pPr>
      <w:r/>
      <w:r/>
    </w:p>
    <w:p>
      <w:pPr>
        <w:pStyle w:val="686"/>
        <w:ind w:right="5387"/>
        <w:spacing w:line="240" w:lineRule="exact"/>
      </w:pPr>
      <w:r/>
      <w:r/>
    </w:p>
    <w:p>
      <w:pPr>
        <w:pStyle w:val="686"/>
        <w:ind w:right="5387"/>
        <w:spacing w:line="240" w:lineRule="exact"/>
      </w:pPr>
      <w:r/>
      <w:r/>
    </w:p>
    <w:p>
      <w:pPr>
        <w:pStyle w:val="686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</w:r>
      <w:r>
        <w:rPr>
          <w:b/>
        </w:rPr>
        <w:t xml:space="preserve">в приложение 2 к </w:t>
      </w:r>
      <w:r>
        <w:rPr>
          <w:b/>
        </w:rPr>
        <w:t xml:space="preserve">Порядк</w:t>
      </w:r>
      <w:r>
        <w:rPr>
          <w:b/>
        </w:rPr>
        <w:t xml:space="preserve">у</w:t>
      </w:r>
      <w:r>
        <w:rPr>
          <w:b/>
        </w:rPr>
        <w:t xml:space="preserve"> </w:t>
      </w:r>
      <w:r>
        <w:rPr>
          <w:b/>
        </w:rPr>
        <w:t xml:space="preserve">определения объем</w:t>
      </w:r>
      <w:r>
        <w:rPr>
          <w:b/>
        </w:rPr>
        <w:t xml:space="preserve">а</w:t>
      </w:r>
      <w:r>
        <w:rPr>
          <w:b/>
        </w:rPr>
        <w:t xml:space="preserve"> и условий предоставления </w:t>
      </w:r>
      <w:r>
        <w:rPr>
          <w:b/>
        </w:rPr>
        <w:t xml:space="preserve">субсидий </w:t>
      </w:r>
      <w:r>
        <w:rPr>
          <w:b/>
        </w:rPr>
        <w:br w:type="textWrapping" w:clear="all"/>
      </w:r>
      <w:r>
        <w:rPr>
          <w:b/>
        </w:rPr>
        <w:t xml:space="preserve">на иные цели </w:t>
      </w:r>
      <w:r>
        <w:rPr>
          <w:b/>
        </w:rPr>
        <w:t xml:space="preserve">бюджетным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и автономным учреждениям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на</w:t>
      </w:r>
      <w:r>
        <w:rPr>
          <w:b/>
        </w:rPr>
        <w:t xml:space="preserve"> выполнени</w:t>
      </w:r>
      <w:r>
        <w:rPr>
          <w:b/>
        </w:rPr>
        <w:t xml:space="preserve">е</w:t>
      </w:r>
      <w:r>
        <w:rPr>
          <w:b/>
        </w:rPr>
        <w:t xml:space="preserve"> предписаний</w:t>
      </w:r>
      <w:r>
        <w:rPr>
          <w:b/>
        </w:rPr>
        <w:t xml:space="preserve"> </w:t>
      </w:r>
      <w:r>
        <w:rPr>
          <w:b/>
        </w:rPr>
        <w:t xml:space="preserve">надзорных органов, приведени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в нормативное состояние </w:t>
      </w:r>
      <w:r>
        <w:rPr>
          <w:b/>
        </w:rPr>
        <w:br w:type="textWrapping" w:clear="all"/>
      </w:r>
      <w:r>
        <w:rPr>
          <w:b/>
        </w:rPr>
        <w:t xml:space="preserve">и улучшени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материально-технического обеспечения</w:t>
      </w:r>
      <w:r>
        <w:rPr>
          <w:b/>
        </w:rPr>
        <w:t xml:space="preserve">, утвержденному постановлением администрации города Перми </w:t>
      </w:r>
      <w:r>
        <w:rPr>
          <w:b/>
        </w:rPr>
        <w:br w:type="textWrapping" w:clear="all"/>
      </w:r>
      <w:r>
        <w:rPr>
          <w:b/>
        </w:rPr>
        <w:t xml:space="preserve">от 16.10.2020 № 1002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66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rPr>
          <w:sz w:val="28"/>
        </w:rPr>
      </w:pPr>
      <w:r>
        <w:rPr>
          <w:sz w:val="28"/>
        </w:rPr>
        <w:t xml:space="preserve">В целях актуализации правов</w:t>
      </w:r>
      <w:r>
        <w:rPr>
          <w:sz w:val="28"/>
        </w:rPr>
        <w:t xml:space="preserve">ых актов администрации города 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666"/>
        <w:rPr>
          <w:sz w:val="28"/>
        </w:rPr>
      </w:pPr>
      <w:r>
        <w:rPr>
          <w:sz w:val="28"/>
        </w:rPr>
        <w:t xml:space="preserve">администрация города Перми </w:t>
      </w:r>
      <w:r>
        <w:rPr>
          <w:sz w:val="28"/>
        </w:rPr>
        <w:t xml:space="preserve">ПОСТАНОВЛЯЕТ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pStyle w:val="666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изменения в приложение 2 к </w:t>
      </w:r>
      <w:r>
        <w:rPr>
          <w:sz w:val="28"/>
        </w:rPr>
        <w:t xml:space="preserve">Поряд</w:t>
      </w:r>
      <w:r>
        <w:rPr>
          <w:sz w:val="28"/>
        </w:rPr>
        <w:t xml:space="preserve">ку</w:t>
      </w:r>
      <w:r>
        <w:rPr>
          <w:sz w:val="28"/>
        </w:rPr>
        <w:t xml:space="preserve"> </w:t>
      </w:r>
      <w:r>
        <w:rPr>
          <w:sz w:val="28"/>
        </w:rPr>
        <w:t xml:space="preserve">определения объема </w:t>
      </w:r>
      <w:r>
        <w:rPr>
          <w:sz w:val="28"/>
        </w:rPr>
        <w:br w:type="textWrapping" w:clear="all"/>
      </w:r>
      <w:r>
        <w:rPr>
          <w:sz w:val="28"/>
        </w:rPr>
        <w:t xml:space="preserve">и условий предоставления субсидий на иные цели бюджетным и автономным учреждениям на выполнение предписаний надзорных органов, приведение </w:t>
      </w:r>
      <w:r>
        <w:rPr>
          <w:sz w:val="28"/>
        </w:rPr>
        <w:br w:type="textWrapping" w:clear="all"/>
      </w:r>
      <w:r>
        <w:rPr>
          <w:sz w:val="28"/>
        </w:rPr>
        <w:t xml:space="preserve">в нормативное состояние и улучшение материально-технического обеспечения</w:t>
      </w:r>
      <w:r>
        <w:rPr>
          <w:sz w:val="28"/>
        </w:rPr>
        <w:t xml:space="preserve">, утвержденному постановлением администрации города Перми от 16</w:t>
      </w:r>
      <w:r>
        <w:rPr>
          <w:sz w:val="28"/>
        </w:rPr>
        <w:t xml:space="preserve"> октября </w:t>
      </w:r>
      <w:r>
        <w:rPr>
          <w:sz w:val="28"/>
        </w:rPr>
        <w:br w:type="textWrapping" w:clear="all"/>
      </w:r>
      <w:r>
        <w:rPr>
          <w:sz w:val="28"/>
        </w:rPr>
        <w:t xml:space="preserve">2020</w:t>
      </w:r>
      <w:r>
        <w:rPr>
          <w:sz w:val="28"/>
        </w:rPr>
        <w:t xml:space="preserve"> г.</w:t>
      </w:r>
      <w:r>
        <w:rPr>
          <w:sz w:val="28"/>
        </w:rPr>
        <w:t xml:space="preserve"> № 1002</w:t>
      </w:r>
      <w:r>
        <w:rPr>
          <w:sz w:val="28"/>
        </w:rPr>
        <w:t xml:space="preserve"> (в ред. от 10.02.2021 № 58</w:t>
      </w:r>
      <w:r>
        <w:rPr>
          <w:sz w:val="28"/>
        </w:rPr>
        <w:t xml:space="preserve">,</w:t>
      </w:r>
      <w: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13.04.2021 № 250</w:t>
      </w:r>
      <w:r>
        <w:rPr>
          <w:sz w:val="28"/>
        </w:rPr>
        <w:t xml:space="preserve">, от 11.06.2021 </w:t>
      </w:r>
      <w:r>
        <w:rPr>
          <w:sz w:val="28"/>
        </w:rPr>
        <w:br w:type="textWrapping" w:clear="all"/>
      </w:r>
      <w:r>
        <w:rPr>
          <w:sz w:val="28"/>
        </w:rPr>
        <w:t xml:space="preserve">№ 428</w:t>
      </w:r>
      <w:r>
        <w:rPr>
          <w:sz w:val="28"/>
        </w:rPr>
        <w:t xml:space="preserve">, от 21.07.2021 № 533</w:t>
      </w:r>
      <w:r>
        <w:rPr>
          <w:sz w:val="28"/>
        </w:rPr>
        <w:t xml:space="preserve">, </w:t>
      </w:r>
      <w:r>
        <w:rPr>
          <w:sz w:val="28"/>
        </w:rPr>
        <w:t xml:space="preserve">от 10.08.2021 № 584, </w:t>
      </w:r>
      <w:r>
        <w:rPr>
          <w:sz w:val="28"/>
        </w:rPr>
        <w:t xml:space="preserve">от 01.10.2021 № 783, </w:t>
      </w:r>
      <w:r>
        <w:rPr>
          <w:sz w:val="28"/>
        </w:rPr>
        <w:br w:type="textWrapping" w:clear="all"/>
      </w:r>
      <w:r>
        <w:rPr>
          <w:sz w:val="28"/>
        </w:rPr>
        <w:t xml:space="preserve">от 20.10.2021 № 912</w:t>
      </w:r>
      <w:r>
        <w:rPr>
          <w:sz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16.12.2021 № 1152, </w:t>
      </w:r>
      <w:r>
        <w:rPr>
          <w:sz w:val="28"/>
          <w:szCs w:val="28"/>
        </w:rPr>
        <w:t xml:space="preserve">от 24.12.2021 № 1215</w:t>
      </w:r>
      <w:r>
        <w:rPr>
          <w:sz w:val="28"/>
          <w:szCs w:val="28"/>
        </w:rPr>
        <w:t xml:space="preserve">, от 10.03.2022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156, </w:t>
      </w:r>
      <w:r>
        <w:rPr>
          <w:sz w:val="28"/>
          <w:szCs w:val="28"/>
        </w:rPr>
        <w:t xml:space="preserve">от 17.05.2022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366</w:t>
      </w:r>
      <w:r>
        <w:rPr>
          <w:sz w:val="28"/>
          <w:szCs w:val="28"/>
        </w:rPr>
        <w:t xml:space="preserve">, от 26.09.2022 № 858, от 27.09.2022 № 860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18.10.2022 № 976</w:t>
      </w:r>
      <w:r>
        <w:rPr>
          <w:sz w:val="28"/>
          <w:szCs w:val="28"/>
        </w:rPr>
        <w:t xml:space="preserve">, от 01.12.2022 № 1222</w:t>
      </w:r>
      <w:r>
        <w:rPr>
          <w:sz w:val="28"/>
          <w:szCs w:val="28"/>
        </w:rPr>
        <w:t xml:space="preserve">, от 12.12.2022 № 1278, от 16.12.2022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1298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09.01.2023 № 2</w:t>
      </w:r>
      <w:r>
        <w:rPr>
          <w:sz w:val="28"/>
          <w:szCs w:val="28"/>
        </w:rPr>
        <w:t xml:space="preserve">, от 23.01.2023 № 34</w:t>
      </w:r>
      <w:r>
        <w:rPr>
          <w:sz w:val="28"/>
          <w:szCs w:val="28"/>
        </w:rPr>
        <w:t xml:space="preserve">, от 20.02.2023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126</w:t>
      </w:r>
      <w:r>
        <w:rPr>
          <w:sz w:val="28"/>
          <w:szCs w:val="28"/>
        </w:rPr>
        <w:t xml:space="preserve">, от 04.04.2023 №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 от 16.05.2023 № 394</w:t>
      </w:r>
      <w:r>
        <w:rPr>
          <w:sz w:val="28"/>
          <w:szCs w:val="28"/>
        </w:rPr>
        <w:t xml:space="preserve">, от 26.05.2023 № 428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09.08.2023 № 688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13.10.2023 № 1034</w:t>
      </w:r>
      <w:r>
        <w:rPr>
          <w:sz w:val="28"/>
          <w:szCs w:val="28"/>
        </w:rPr>
        <w:t xml:space="preserve">, от 17.10.2023 № 1055</w:t>
      </w:r>
      <w:r>
        <w:rPr>
          <w:sz w:val="28"/>
          <w:szCs w:val="28"/>
        </w:rPr>
        <w:t xml:space="preserve">, от 24.11.2023 № 1301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27.11.2023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1314, от 14.12.2023 № 1407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28.02.2024 № 147</w:t>
      </w:r>
      <w:r>
        <w:rPr>
          <w:sz w:val="28"/>
          <w:szCs w:val="28"/>
        </w:rPr>
        <w:t xml:space="preserve">, от 20.03.2024 № 206,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14.06.2024 № 490</w:t>
      </w:r>
      <w:r>
        <w:rPr>
          <w:sz w:val="28"/>
          <w:szCs w:val="28"/>
        </w:rPr>
        <w:t xml:space="preserve">, от 27.06.2024 № 541</w:t>
      </w:r>
      <w:r>
        <w:rPr>
          <w:sz w:val="28"/>
          <w:szCs w:val="28"/>
        </w:rPr>
        <w:t xml:space="preserve">, от 04.09.2024 № 736</w:t>
      </w:r>
      <w:r>
        <w:rPr>
          <w:sz w:val="28"/>
          <w:szCs w:val="28"/>
        </w:rPr>
        <w:t xml:space="preserve">, от 04.10.2024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830, от 18.10.2024 № 976</w:t>
      </w:r>
      <w:r>
        <w:rPr>
          <w:sz w:val="28"/>
          <w:szCs w:val="28"/>
        </w:rPr>
        <w:t xml:space="preserve">, от 27.11.2024 № 1141</w:t>
      </w:r>
      <w:r>
        <w:rPr>
          <w:sz w:val="28"/>
        </w:rPr>
        <w:t xml:space="preserve">),</w:t>
      </w:r>
      <w:r>
        <w:rPr>
          <w:sz w:val="28"/>
        </w:rPr>
        <w:t xml:space="preserve"> изложив в редакции согласно </w:t>
      </w:r>
      <w:r>
        <w:rPr>
          <w:sz w:val="28"/>
        </w:rPr>
        <w:t xml:space="preserve">приложению</w:t>
      </w:r>
      <w:r>
        <w:rPr>
          <w:sz w:val="28"/>
        </w:rPr>
        <w:t xml:space="preserve">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666"/>
        <w:ind w:firstLine="720"/>
        <w:jc w:val="both"/>
        <w:rPr>
          <w:sz w:val="28"/>
        </w:rPr>
      </w:pPr>
      <w:r>
        <w:rPr>
          <w:sz w:val="28"/>
        </w:rPr>
        <w:t xml:space="preserve">2. Настоящее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pStyle w:val="666"/>
        <w:ind w:firstLine="720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pStyle w:val="666"/>
        <w:ind w:firstLine="720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</w:rPr>
      </w:r>
      <w:r>
        <w:rPr>
          <w:sz w:val="28"/>
        </w:rPr>
      </w:r>
    </w:p>
    <w:p>
      <w:pPr>
        <w:pStyle w:val="666"/>
        <w:ind w:firstLine="720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</w:rPr>
        <w:t xml:space="preserve">заместителя главы администрации города Перми </w:t>
      </w:r>
      <w:r>
        <w:rPr>
          <w:sz w:val="28"/>
        </w:rPr>
        <w:t xml:space="preserve">Мальцеву </w:t>
      </w:r>
      <w:r>
        <w:rPr>
          <w:sz w:val="28"/>
        </w:rPr>
        <w:t xml:space="preserve">Е.Д.</w:t>
      </w:r>
      <w:r>
        <w:rPr>
          <w:sz w:val="28"/>
        </w:rPr>
      </w:r>
      <w:r>
        <w:rPr>
          <w:sz w:val="28"/>
        </w:rPr>
      </w:r>
    </w:p>
    <w:p>
      <w:pPr>
        <w:pStyle w:val="666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6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6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6"/>
        <w:jc w:val="both"/>
        <w:spacing w:line="240" w:lineRule="exact"/>
        <w:rPr>
          <w:sz w:val="28"/>
        </w:rPr>
      </w:pPr>
      <w:r>
        <w:rPr>
          <w:sz w:val="28"/>
        </w:rPr>
        <w:t xml:space="preserve">Глав</w:t>
      </w:r>
      <w:r>
        <w:rPr>
          <w:sz w:val="28"/>
        </w:rPr>
        <w:t xml:space="preserve">а</w:t>
      </w:r>
      <w:r>
        <w:rPr>
          <w:sz w:val="28"/>
        </w:rPr>
        <w:t xml:space="preserve"> города Перми                                                                           </w:t>
      </w:r>
      <w:r>
        <w:rPr>
          <w:sz w:val="28"/>
        </w:rPr>
        <w:t xml:space="preserve">          Э.О. Соснин</w:t>
      </w:r>
      <w:r>
        <w:rPr>
          <w:sz w:val="28"/>
        </w:rPr>
      </w:r>
      <w:r>
        <w:rPr>
          <w:sz w:val="28"/>
        </w:rPr>
      </w:r>
    </w:p>
    <w:p>
      <w:pPr>
        <w:pStyle w:val="666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6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left="9921"/>
        <w:spacing w:line="240" w:lineRule="exact"/>
        <w:rPr>
          <w:sz w:val="28"/>
          <w:szCs w:val="28"/>
        </w:rPr>
        <w:outlineLvl w:val="0"/>
      </w:pPr>
      <w:r/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pStyle w:val="666"/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pStyle w:val="666"/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pStyle w:val="666"/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02.12.2024 № 1156</w:t>
      </w:r>
      <w:r>
        <w:rPr>
          <w:sz w:val="28"/>
          <w:szCs w:val="28"/>
        </w:rPr>
      </w:r>
    </w:p>
    <w:p>
      <w:pPr>
        <w:pStyle w:val="666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6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6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СУБСИДИЙ </w:t>
        <w:br w:type="textWrapping" w:clear="all"/>
        <w:t xml:space="preserve">на иные цели на выполнение предписаний надзорных органов, приведение </w:t>
      </w:r>
      <w:r>
        <w:rPr>
          <w:b/>
          <w:sz w:val="28"/>
          <w:szCs w:val="24"/>
        </w:rPr>
      </w:r>
    </w:p>
    <w:p>
      <w:pPr>
        <w:pStyle w:val="66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 нормативное состояние и улучшение материально-технического обеспечения </w:t>
      </w:r>
      <w:r>
        <w:rPr>
          <w:b/>
          <w:sz w:val="28"/>
          <w:szCs w:val="24"/>
        </w:rPr>
      </w:r>
    </w:p>
    <w:p>
      <w:pPr>
        <w:pStyle w:val="66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 2024 год и плановый период 2025 и 2026 годов</w:t>
      </w:r>
      <w:r>
        <w:rPr>
          <w:b/>
          <w:sz w:val="28"/>
          <w:szCs w:val="24"/>
        </w:rPr>
      </w:r>
    </w:p>
    <w:p>
      <w:pPr>
        <w:pStyle w:val="666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6"/>
        <w:ind w:firstLine="720"/>
        <w:jc w:val="both"/>
        <w:rPr>
          <w:sz w:val="2"/>
          <w:szCs w:val="2"/>
        </w:rPr>
      </w:pPr>
      <w:r/>
      <w:bookmarkStart w:id="1" w:name="OLE_LINK2"/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8189"/>
        <w:gridCol w:w="2267"/>
        <w:gridCol w:w="1843"/>
        <w:gridCol w:w="1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№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9" w:type="dxa"/>
            <w:vAlign w:val="top"/>
            <w:vMerge w:val="restart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Получатели субсидий, адрес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7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Расчетные показатели, тыс. руб.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vMerge w:val="continue"/>
            <w:textDirection w:val="lrTb"/>
            <w:noWrap w:val="false"/>
          </w:tcPr>
          <w:p>
            <w:pPr>
              <w:pStyle w:val="666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9" w:type="dxa"/>
            <w:vAlign w:val="center"/>
            <w:vMerge w:val="continue"/>
            <w:textDirection w:val="lrTb"/>
            <w:noWrap w:val="false"/>
          </w:tcPr>
          <w:p>
            <w:pPr>
              <w:pStyle w:val="666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2024 год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2025 год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2026 год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</w:tr>
    </w:tbl>
    <w:p>
      <w:pPr>
        <w:pStyle w:val="666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8202"/>
        <w:gridCol w:w="2115"/>
        <w:gridCol w:w="1986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4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5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 </w:t>
            </w:r>
            <w:bookmarkStart w:id="2" w:name="_Hlk146202631"/>
            <w:r>
              <w:rPr>
                <w:rFonts w:eastAsia="Calibri"/>
                <w:spacing w:val="-2"/>
                <w:sz w:val="28"/>
                <w:szCs w:val="28"/>
              </w:rPr>
              <w:t xml:space="preserve">Текущий ремонт (в том числе проведение технического обследования, изготовление необходимой </w:t>
              <w:br w:type="textWrapping" w:clear="all"/>
              <w:t xml:space="preserve">документации, осуществление технического и авторского надзора, реализация кластера безопасности)</w:t>
            </w:r>
            <w:bookmarkEnd w:id="1"/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«Дворец культуры «Искра» (ул. Академика Веденеева, 54)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10 918,900</w:t>
            </w:r>
            <w:r>
              <w:rPr>
                <w:spacing w:val="-2"/>
                <w:sz w:val="28"/>
                <w:szCs w:val="28"/>
              </w:rPr>
              <w:t xml:space="preserve">00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.2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10 «Динамика» (ул. Советской Армии, 23)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19 638,78706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.3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№ 7»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(ул. Репина, 9)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730,00000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.4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№ 14 «Грани»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(поселок Новые Ляды, ул. 40 лет Победы, 20а)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132,19212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.5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5 «Созвучие»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Александра Щербакова, 42)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950,18575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.6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города Перми «Объеди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нение муниципальных библиотек» </w:t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Петропавловская, 25, ул. Декабристов, 12а, ул. Дружбы, 22,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ул. Мира, 84, ул. До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кучаева, 28, ул. Гашкова, 20,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Геологов, 5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шоссе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Космонавтов, 110, ул. Стахановская, 10, ул. Ласьвинская, 62,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П.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Осипенко, 52, ул. Мира, 80а,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Бородинская, 26,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ул. Курчатова, 9,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Чкалова, 20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Хабаровская, 143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ул. Лебедева, 38,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Тургенева, 18/1,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Чернышевского, 5,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ул.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Крупской, 79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Веденеева, 90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Социалистическая, 4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ул. Гайвинская, 6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Связистов, 26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Маяковского, 8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ул. Сестрорецкая, 24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Ветлужская, 97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Холмогорская, 6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19 891,16162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5 696,300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27 875,900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7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«ПермьПарк» (ул. Маршала Рыбалко, 106)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9 687,28586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9 381,300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8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детская хоровая школа «Хоровая капелла мальчиков»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Газеты «Звезда», 17)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162,40028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2 092,800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9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8 «Рондо» (ул. Сокольская, 8)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442,900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имени Д.Б. Кабалевского» (проспект Парковый, 16)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836,04448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«Академический хор «Млада»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Полины Осипенко, 44)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93,400000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«Пермский театр кукол» (ул. Сибирская, 65)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1 638,000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6 293,500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«Пермская дирекция по организации городских культурно-массовых мероприятий»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Монастырская, 95а)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16 647,600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28 760,100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«Дворец культуры им. А.С. Пушкина»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Александра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Щербакова, 33)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575,900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197,500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5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«Клуб «Юбилейный» (поселок Новые Ляды, ул. Мира, 1)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5 090,000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6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«Дворец культуры «Урал» (ул. Фадеева, 7)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13 716,600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7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«Пермский городской дворец культуры имени С.М. Кирова»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(ул. Кировоградская, 26, ул. Транспортная, 27а)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2 100,000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17 679,200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22 268,400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8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4 «Кварта» (ул. Ласьвинская, 28а)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1 090,27617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/>
            <w:bookmarkStart w:id="3" w:name="_Hlk182412363"/>
            <w:r>
              <w:rPr>
                <w:rFonts w:eastAsia="Calibri"/>
                <w:spacing w:val="-2"/>
                <w:sz w:val="28"/>
                <w:szCs w:val="28"/>
              </w:rPr>
              <w:t xml:space="preserve">1.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19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tabs>
                <w:tab w:val="left" w:pos="1080" w:leader="none"/>
              </w:tabs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«Пермский городской дворец культуры имени А.Г. Солдатова» (Комсомольский проспект, 79)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2 671,000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24 620,100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75 303,000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/>
            <w:bookmarkEnd w:id="2"/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художественная школа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имени Е.Н. Широкова»</w:t>
            </w:r>
            <w: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25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-го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Октября, 1а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35 764,700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28 177,70000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«Пермский планетарий» (бульвар Гагарина, 27а)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483,800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5 027,100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города Перми «Пермский театр «У Моста» (ул. Куйбышева, 11)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3 876,300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«Центральный выставочный зал» (Комсомольский проспект,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10)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2 042,300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«Пермский городской дворец культуры имени М.И. Калинина»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(ул. Куйбышева, 140)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1 433,700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1 620,800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5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города Перми «Клуб имени Златогорского» (ул. Трясолобова, 105)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869,04287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4 191,100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6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«Центр досуга «Альянс» (ул. Генерала Доватора, 1)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3 885,700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7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«Центр досуга «Родина» (ул. Репина, 20)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27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 282,78095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8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  <w:lang w:val="en-US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«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Детская музыкальная школа № 3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«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Доминанта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»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Комсомольский проспект, 84, Комсомольский проспект, 69, ул. Новосибирская, 4)</w:t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486,000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29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«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ПермьКонцерт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» (ул. Сибирская, 30)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600,000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1.30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«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Детская школа искусств № 11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«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Открытие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» (ул. Сестрорецкая, 16)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59,21414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165 467,57130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141 256,70000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141 256,700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Техническое оснащение (в том числе приобретение необходимого оборудования, мебели, инвентаря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 материальных запасов)</w:t>
            </w:r>
            <w:bookmarkEnd w:id="3"/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  <w:t xml:space="preserve">города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Перми «Объединение муниципальных библиотек»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(ул.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Осипенко, 52, Шоссе Космонавтов, 110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 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643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79199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.2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художественная школа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имени Е.Н. Широкова»</w:t>
            </w:r>
            <w:r>
              <w:t xml:space="preserve">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Кавалерийская, 3а,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ул. 25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-го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Октября, 1а)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3 760,000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2.3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города Перми «Клуб имени Златогорского» (ул. Трясолобова, 105)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217,55713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2.4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№ 9» </w:t>
              <w:br w:type="textWrapping" w:clear="all"/>
              <w:t xml:space="preserve">(ул.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Борчаниновская, 28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206,400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2.5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«Центр досуга «Родина» (ул. Репина, 20)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3 635,81905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2.6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«ПермьПарк» (ул. Маршала Рыбалко, 106)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2 146,81414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11 610,38231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 Приобретение автоматизированных комплексов самостоятельного обслуживания пользователей библиотек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города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Перми «Объединение муниципальных библиотек»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(ул. Петропавловская, 25)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436,700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436,700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436,700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436,700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4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Проведение мероприятий по комплектованию книжных фондов муниципальных библиотек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4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города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Перми «Объединение муниципальных библиотек»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(ул. Петропавловская, 25)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579,600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579,600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1 579,600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1 579,600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2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5.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Оснащение оборудованием муниципальных дворцов культуры, центров досуга, клубов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5.1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tabs>
                <w:tab w:val="left" w:pos="1080" w:leader="none"/>
              </w:tabs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«Пермский городской дворец культуры имени А.Г. Солдатова» (Комсомольский проспект, 79)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21 500,00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tabs>
                <w:tab w:val="left" w:pos="1080" w:leader="none"/>
              </w:tabs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21 500,00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Всего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ind w:left="-108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198 577,95361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ind w:left="-95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144 273,000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/>
          </w:tcPr>
          <w:p>
            <w:pPr>
              <w:pStyle w:val="666"/>
              <w:ind w:left="-8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144 273,000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1"/>
      </w:rPr>
      <w:framePr w:wrap="around" w:vAnchor="text" w:hAnchor="margin" w:xAlign="center" w:y="1"/>
    </w:pPr>
    <w:r>
      <w:rPr>
        <w:rStyle w:val="681"/>
      </w:rPr>
      <w:fldChar w:fldCharType="begin"/>
    </w:r>
    <w:r>
      <w:rPr>
        <w:rStyle w:val="681"/>
      </w:rPr>
      <w:instrText xml:space="preserve">PAGE  </w:instrText>
    </w:r>
    <w:r>
      <w:rPr>
        <w:rStyle w:val="681"/>
      </w:rPr>
      <w:fldChar w:fldCharType="separate"/>
    </w:r>
    <w:r>
      <w:rPr>
        <w:rStyle w:val="681"/>
      </w:rPr>
      <w:t xml:space="preserve">2</w:t>
    </w:r>
    <w:r>
      <w:rPr>
        <w:rStyle w:val="681"/>
      </w:rPr>
      <w:fldChar w:fldCharType="end"/>
    </w:r>
    <w:r>
      <w:rPr>
        <w:rStyle w:val="681"/>
      </w:rPr>
    </w:r>
    <w:r>
      <w:rPr>
        <w:rStyle w:val="681"/>
      </w:rPr>
    </w:r>
  </w:p>
  <w:p>
    <w:pPr>
      <w:pStyle w:val="6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6"/>
    <w:next w:val="66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6"/>
    <w:next w:val="66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6"/>
    <w:next w:val="66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next w:val="666"/>
    <w:link w:val="666"/>
    <w:qFormat/>
    <w:rPr>
      <w:lang w:val="ru-RU" w:eastAsia="ru-RU" w:bidi="ar-SA"/>
    </w:rPr>
  </w:style>
  <w:style w:type="paragraph" w:styleId="667">
    <w:name w:val="Заголовок 1"/>
    <w:basedOn w:val="666"/>
    <w:next w:val="666"/>
    <w:link w:val="67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68">
    <w:name w:val="Заголовок 2"/>
    <w:basedOn w:val="666"/>
    <w:next w:val="666"/>
    <w:link w:val="67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9">
    <w:name w:val="Основной шрифт абзаца"/>
    <w:next w:val="669"/>
    <w:link w:val="666"/>
    <w:semiHidden/>
  </w:style>
  <w:style w:type="table" w:styleId="670">
    <w:name w:val="Обычная таблица"/>
    <w:next w:val="670"/>
    <w:link w:val="666"/>
    <w:semiHidden/>
    <w:tblPr/>
  </w:style>
  <w:style w:type="numbering" w:styleId="671">
    <w:name w:val="Нет списка"/>
    <w:next w:val="671"/>
    <w:link w:val="666"/>
    <w:semiHidden/>
  </w:style>
  <w:style w:type="character" w:styleId="672">
    <w:name w:val="Заголовок 1 Знак"/>
    <w:next w:val="672"/>
    <w:link w:val="667"/>
    <w:rPr>
      <w:sz w:val="24"/>
    </w:rPr>
  </w:style>
  <w:style w:type="character" w:styleId="673">
    <w:name w:val="Заголовок 2 Знак"/>
    <w:next w:val="673"/>
    <w:link w:val="668"/>
    <w:rPr>
      <w:sz w:val="24"/>
    </w:rPr>
  </w:style>
  <w:style w:type="paragraph" w:styleId="674">
    <w:name w:val="Название объекта"/>
    <w:basedOn w:val="666"/>
    <w:next w:val="666"/>
    <w:link w:val="6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5">
    <w:name w:val="Основной текст"/>
    <w:basedOn w:val="666"/>
    <w:next w:val="675"/>
    <w:link w:val="676"/>
    <w:pPr>
      <w:ind w:right="3117"/>
    </w:pPr>
    <w:rPr>
      <w:rFonts w:ascii="Courier New" w:hAnsi="Courier New"/>
      <w:sz w:val="26"/>
      <w:lang w:val="en-US" w:eastAsia="en-US"/>
    </w:rPr>
  </w:style>
  <w:style w:type="character" w:styleId="676">
    <w:name w:val="Основной текст Знак"/>
    <w:next w:val="676"/>
    <w:link w:val="675"/>
    <w:rPr>
      <w:rFonts w:ascii="Courier New" w:hAnsi="Courier New"/>
      <w:sz w:val="26"/>
    </w:rPr>
  </w:style>
  <w:style w:type="paragraph" w:styleId="677">
    <w:name w:val="Основной текст с отступом"/>
    <w:basedOn w:val="666"/>
    <w:next w:val="677"/>
    <w:link w:val="678"/>
    <w:pPr>
      <w:ind w:right="-1"/>
      <w:jc w:val="both"/>
    </w:pPr>
    <w:rPr>
      <w:sz w:val="26"/>
      <w:lang w:val="en-US" w:eastAsia="en-US"/>
    </w:rPr>
  </w:style>
  <w:style w:type="character" w:styleId="678">
    <w:name w:val="Основной текст с отступом Знак"/>
    <w:next w:val="678"/>
    <w:link w:val="677"/>
    <w:rPr>
      <w:sz w:val="26"/>
    </w:rPr>
  </w:style>
  <w:style w:type="paragraph" w:styleId="679">
    <w:name w:val="Нижний колонтитул"/>
    <w:basedOn w:val="666"/>
    <w:next w:val="679"/>
    <w:link w:val="680"/>
    <w:uiPriority w:val="99"/>
    <w:pPr>
      <w:tabs>
        <w:tab w:val="center" w:pos="4153" w:leader="none"/>
        <w:tab w:val="right" w:pos="8306" w:leader="none"/>
      </w:tabs>
    </w:pPr>
  </w:style>
  <w:style w:type="character" w:styleId="680">
    <w:name w:val="Нижний колонтитул Знак"/>
    <w:basedOn w:val="669"/>
    <w:next w:val="680"/>
    <w:link w:val="679"/>
    <w:uiPriority w:val="99"/>
  </w:style>
  <w:style w:type="character" w:styleId="681">
    <w:name w:val="Номер страницы"/>
    <w:basedOn w:val="669"/>
    <w:next w:val="681"/>
    <w:link w:val="666"/>
  </w:style>
  <w:style w:type="paragraph" w:styleId="682">
    <w:name w:val="Верхний колонтитул"/>
    <w:basedOn w:val="666"/>
    <w:next w:val="682"/>
    <w:link w:val="683"/>
    <w:uiPriority w:val="99"/>
    <w:pPr>
      <w:tabs>
        <w:tab w:val="center" w:pos="4153" w:leader="none"/>
        <w:tab w:val="right" w:pos="8306" w:leader="none"/>
      </w:tabs>
    </w:pPr>
  </w:style>
  <w:style w:type="character" w:styleId="683">
    <w:name w:val="Верхний колонтитул Знак"/>
    <w:next w:val="683"/>
    <w:link w:val="682"/>
    <w:uiPriority w:val="99"/>
  </w:style>
  <w:style w:type="paragraph" w:styleId="684">
    <w:name w:val="Текст выноски"/>
    <w:basedOn w:val="666"/>
    <w:next w:val="684"/>
    <w:link w:val="685"/>
    <w:rPr>
      <w:rFonts w:ascii="Segoe UI" w:hAnsi="Segoe UI"/>
      <w:sz w:val="18"/>
      <w:szCs w:val="18"/>
      <w:lang w:val="en-US" w:eastAsia="en-US"/>
    </w:rPr>
  </w:style>
  <w:style w:type="character" w:styleId="685">
    <w:name w:val="Текст выноски Знак"/>
    <w:next w:val="685"/>
    <w:link w:val="684"/>
    <w:rPr>
      <w:rFonts w:ascii="Segoe UI" w:hAnsi="Segoe UI" w:cs="Segoe UI"/>
      <w:sz w:val="18"/>
      <w:szCs w:val="18"/>
    </w:rPr>
  </w:style>
  <w:style w:type="paragraph" w:styleId="686">
    <w:name w:val="Форма"/>
    <w:next w:val="686"/>
    <w:link w:val="666"/>
    <w:rPr>
      <w:sz w:val="28"/>
      <w:szCs w:val="28"/>
      <w:lang w:val="ru-RU" w:eastAsia="ru-RU" w:bidi="ar-SA"/>
    </w:rPr>
  </w:style>
  <w:style w:type="paragraph" w:styleId="687">
    <w:name w:val="ConsPlusTitle"/>
    <w:next w:val="687"/>
    <w:link w:val="66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88">
    <w:name w:val="ConsPlusNormal"/>
    <w:next w:val="688"/>
    <w:link w:val="66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89">
    <w:name w:val="Гиперссылка"/>
    <w:next w:val="689"/>
    <w:link w:val="666"/>
    <w:uiPriority w:val="99"/>
    <w:unhideWhenUsed/>
    <w:rPr>
      <w:color w:val="0000ff"/>
      <w:u w:val="single"/>
    </w:rPr>
  </w:style>
  <w:style w:type="table" w:styleId="690">
    <w:name w:val="Сетка таблицы"/>
    <w:basedOn w:val="670"/>
    <w:next w:val="690"/>
    <w:link w:val="666"/>
    <w:tblPr/>
  </w:style>
  <w:style w:type="character" w:styleId="3938" w:default="1">
    <w:name w:val="Default Paragraph Font"/>
    <w:uiPriority w:val="1"/>
    <w:semiHidden/>
    <w:unhideWhenUsed/>
  </w:style>
  <w:style w:type="numbering" w:styleId="3939" w:default="1">
    <w:name w:val="No List"/>
    <w:uiPriority w:val="99"/>
    <w:semiHidden/>
    <w:unhideWhenUsed/>
  </w:style>
  <w:style w:type="table" w:styleId="39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56</cp:revision>
  <dcterms:created xsi:type="dcterms:W3CDTF">2024-02-26T11:30:00Z</dcterms:created>
  <dcterms:modified xsi:type="dcterms:W3CDTF">2024-12-02T09:57:51Z</dcterms:modified>
  <cp:version>983040</cp:version>
</cp:coreProperties>
</file>