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0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0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0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0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662"/>
        <w:tabs>
          <w:tab w:val="left" w:pos="3969" w:leader="none"/>
          <w:tab w:val="left" w:pos="4253" w:leader="none"/>
        </w:tabs>
      </w:pPr>
      <w:r>
        <w:t xml:space="preserve">09.12.2024            059-16-01-03-197</w:t>
      </w:r>
      <w:r/>
    </w:p>
    <w:p>
      <w:pPr>
        <w:pStyle w:val="900"/>
        <w:ind w:right="5662"/>
        <w:tabs>
          <w:tab w:val="left" w:pos="3969" w:leader="none"/>
          <w:tab w:val="left" w:pos="4253" w:leader="none"/>
        </w:tabs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pStyle w:val="900"/>
        <w:ind w:right="5662"/>
        <w:spacing w:line="283" w:lineRule="exact"/>
        <w:tabs>
          <w:tab w:val="left" w:pos="3969" w:leader="none"/>
          <w:tab w:val="left" w:pos="4253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</w:rPr>
        <w:t xml:space="preserve">О сносе объекта капитального строительства 2-этажной кирпичной пристройки, примыкающей</w:t>
      </w:r>
      <w:r>
        <w:rPr>
          <w:b/>
          <w:color w:val="000000"/>
        </w:rPr>
      </w:r>
      <w:r/>
    </w:p>
    <w:p>
      <w:pPr>
        <w:pStyle w:val="900"/>
        <w:ind w:right="5662"/>
        <w:spacing w:line="283" w:lineRule="exact"/>
        <w:tabs>
          <w:tab w:val="left" w:pos="3969" w:leader="none"/>
          <w:tab w:val="left" w:pos="4253" w:leader="none"/>
        </w:tabs>
        <w:rPr>
          <w:b/>
          <w:bCs/>
          <w:color w:val="000000"/>
        </w:rPr>
      </w:pPr>
      <w:r>
        <w:rPr>
          <w:b/>
          <w:color w:val="000000"/>
        </w:rPr>
        <w:t xml:space="preserve">к многоквартирному дому </w:t>
        <w:br/>
        <w:t xml:space="preserve">по ул. Формовщиков, 3,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00"/>
        <w:ind w:right="5662"/>
        <w:spacing w:line="283" w:lineRule="exact"/>
        <w:tabs>
          <w:tab w:val="left" w:pos="3969" w:leader="none"/>
          <w:tab w:val="left" w:pos="4253" w:leader="none"/>
        </w:tabs>
        <w:rPr>
          <w:b/>
          <w:bCs/>
        </w:rPr>
      </w:pPr>
      <w:r>
        <w:rPr>
          <w:b/>
          <w:color w:val="000000"/>
        </w:rPr>
        <w:t xml:space="preserve">в г.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00"/>
        <w:ind w:firstLine="720"/>
        <w:jc w:val="both"/>
        <w:spacing w:line="276" w:lineRule="auto"/>
      </w:pPr>
      <w:r/>
      <w:r/>
    </w:p>
    <w:p>
      <w:pPr>
        <w:pStyle w:val="900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31.</w:t>
      </w:r>
      <w:r>
        <w:t xml:space="preserve">10.2024</w:t>
      </w:r>
      <w:r>
        <w:t xml:space="preserve"> № 28</w:t>
      </w:r>
      <w:r>
        <w:t xml:space="preserve">.</w:t>
      </w:r>
      <w:r/>
    </w:p>
    <w:p>
      <w:pPr>
        <w:pStyle w:val="900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ой </w:t>
      </w:r>
      <w:r>
        <w:t xml:space="preserve">постройки</w:t>
      </w:r>
      <w:r>
        <w:t xml:space="preserve"> - </w:t>
      </w:r>
      <w:r>
        <w:t xml:space="preserve">2-этажной кирпичной пристройки, примыкающей</w:t>
        <w:br/>
      </w:r>
      <w:r>
        <w:t xml:space="preserve">к многоквартирному дому по ул. Формовщиков, 3, в г. Перми</w:t>
      </w:r>
      <w:r>
        <w:t xml:space="preserve">.</w:t>
      </w:r>
      <w:r/>
    </w:p>
    <w:p>
      <w:pPr>
        <w:pStyle w:val="900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</w:t>
      </w:r>
      <w:r>
        <w:rPr>
          <w:highlight w:val="none"/>
        </w:rPr>
        <w:t xml:space="preserve">до</w:t>
      </w:r>
      <w:r>
        <w:rPr>
          <w:highlight w:val="none"/>
        </w:rPr>
        <w:t xml:space="preserve"> </w:t>
      </w:r>
      <w:r>
        <w:rPr>
          <w:highlight w:val="none"/>
        </w:rPr>
        <w:t xml:space="preserve">06 марта</w:t>
      </w:r>
      <w:r>
        <w:rPr>
          <w:highlight w:val="none"/>
        </w:rPr>
        <w:t xml:space="preserve"> </w:t>
      </w:r>
      <w:r>
        <w:rPr>
          <w:highlight w:val="none"/>
        </w:rPr>
        <w:t xml:space="preserve">202</w:t>
      </w:r>
      <w:r>
        <w:rPr>
          <w:highlight w:val="none"/>
        </w:rPr>
        <w:t xml:space="preserve">5</w:t>
      </w:r>
      <w:r>
        <w:rPr>
          <w:highlight w:val="none"/>
        </w:rPr>
        <w:t xml:space="preserve">,</w:t>
      </w:r>
      <w:r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соответствие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опубликование (обнародование)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</w:t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А.Н.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/>
    <w:r/>
  </w:p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9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898"/>
    <w:pPr>
      <w:ind w:right="3117"/>
    </w:pPr>
    <w:rPr>
      <w:rFonts w:ascii="Courier New" w:hAnsi="Courier New"/>
      <w:sz w:val="26"/>
      <w:lang w:val="en-US" w:eastAsia="en-US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rPr>
      <w:rFonts w:ascii="Segoe UI" w:hAnsi="Segoe UI"/>
      <w:sz w:val="18"/>
      <w:szCs w:val="18"/>
      <w:lang w:val="en-US" w:eastAsia="en-US"/>
    </w:rPr>
  </w:style>
  <w:style w:type="character" w:styleId="897">
    <w:name w:val="Текст выноски Знак"/>
    <w:next w:val="897"/>
    <w:link w:val="896"/>
    <w:rPr>
      <w:rFonts w:ascii="Segoe UI" w:hAnsi="Segoe UI" w:cs="Segoe UI"/>
      <w:sz w:val="18"/>
      <w:szCs w:val="18"/>
    </w:rPr>
  </w:style>
  <w:style w:type="character" w:styleId="898">
    <w:name w:val="Основной текст Знак"/>
    <w:next w:val="898"/>
    <w:link w:val="891"/>
    <w:rPr>
      <w:rFonts w:ascii="Courier New" w:hAnsi="Courier New"/>
      <w:sz w:val="26"/>
    </w:rPr>
  </w:style>
  <w:style w:type="character" w:styleId="899">
    <w:name w:val="Заголовок 2 Знак"/>
    <w:next w:val="899"/>
    <w:link w:val="886"/>
    <w:rPr>
      <w:sz w:val="24"/>
    </w:rPr>
  </w:style>
  <w:style w:type="paragraph" w:styleId="900">
    <w:name w:val="Форма"/>
    <w:next w:val="900"/>
    <w:link w:val="884"/>
    <w:rPr>
      <w:sz w:val="28"/>
      <w:szCs w:val="28"/>
      <w:lang w:val="ru-RU" w:eastAsia="ru-RU" w:bidi="ar-SA"/>
    </w:rPr>
  </w:style>
  <w:style w:type="character" w:styleId="901">
    <w:name w:val="Нижний колонтитул Знак"/>
    <w:basedOn w:val="887"/>
    <w:next w:val="901"/>
    <w:link w:val="893"/>
    <w:uiPriority w:val="99"/>
  </w:style>
  <w:style w:type="character" w:styleId="902">
    <w:name w:val="Верхний колонтитул Знак"/>
    <w:basedOn w:val="887"/>
    <w:next w:val="902"/>
    <w:link w:val="895"/>
    <w:uiPriority w:val="99"/>
  </w:style>
  <w:style w:type="character" w:styleId="903">
    <w:name w:val="obj-address"/>
    <w:next w:val="903"/>
    <w:link w:val="884"/>
  </w:style>
  <w:style w:type="character" w:styleId="904">
    <w:name w:val="Гиперссылка"/>
    <w:next w:val="904"/>
    <w:link w:val="884"/>
    <w:uiPriority w:val="99"/>
    <w:unhideWhenUsed/>
    <w:rPr>
      <w:color w:val="0000ff"/>
      <w:u w:val="single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</cp:revision>
  <dcterms:created xsi:type="dcterms:W3CDTF">2023-06-13T07:33:00Z</dcterms:created>
  <dcterms:modified xsi:type="dcterms:W3CDTF">2024-12-09T03:40:10Z</dcterms:modified>
  <cp:version>1048576</cp:version>
</cp:coreProperties>
</file>