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right="0"/>
        <w:jc w:val="both"/>
        <w:tabs>
          <w:tab w:val="left" w:pos="7329" w:leader="none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662400</wp:posOffset>
                </wp:positionV>
                <wp:extent cx="6189050" cy="1857375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189049" cy="185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8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pt;height:40.2pt;mso-wrap-distance-left:0.0pt;mso-wrap-distance-top:0.0pt;mso-wrap-distance-right:0.0pt;mso-wrap-distance-bottom:0.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/>
                          </w:p>
                          <w:p>
                            <w:pPr>
                              <w:pStyle w:val="87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/>
                          </w:p>
                          <w:p>
                            <w:pPr>
                              <w:pStyle w:val="867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/>
                          </w:p>
                          <w:p>
                            <w:pPr>
                              <w:pStyle w:val="87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/>
                          </w:p>
                          <w:p>
                            <w:pPr>
                              <w:pStyle w:val="87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КИРОВСКОГО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67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/>
                          </w:p>
                          <w:p>
                            <w:pPr>
                              <w:pStyle w:val="86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67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/>
                          </w:p>
                          <w:p>
                            <w:pPr>
                              <w:pStyle w:val="867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869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pt;mso-position-horizontal:absolute;mso-position-vertical-relative:page;margin-top:52.2pt;mso-position-vertical:absolute;width:487.3pt;height:146.2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878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pt;height:40.2pt;mso-wrap-distance-left:0.0pt;mso-wrap-distance-top:0.0pt;mso-wrap-distance-right:0.0pt;mso-wrap-distance-bottom:0.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/>
                    </w:p>
                    <w:p>
                      <w:pPr>
                        <w:pStyle w:val="87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/>
                    </w:p>
                    <w:p>
                      <w:pPr>
                        <w:pStyle w:val="867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/>
                    </w:p>
                    <w:p>
                      <w:pPr>
                        <w:pStyle w:val="87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/>
                    </w:p>
                    <w:p>
                      <w:pPr>
                        <w:pStyle w:val="87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КИРОВСКОГО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867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/>
                    </w:p>
                    <w:p>
                      <w:pPr>
                        <w:pStyle w:val="867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867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/>
                    </w:p>
                    <w:p>
                      <w:pPr>
                        <w:pStyle w:val="867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/>
                    </w:p>
                    <w:p>
                      <w:pPr>
                        <w:pStyle w:val="869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ПРОЕКТ</w:t>
      </w:r>
      <w:r>
        <w:rPr>
          <w:rFonts w:ascii="Times New Roman" w:hAnsi="Times New Roman" w:cs="Times New Roman"/>
        </w:rPr>
      </w:r>
      <w:r/>
    </w:p>
    <w:p>
      <w:pPr>
        <w:pStyle w:val="874"/>
        <w:ind w:righ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>
        <w:rPr>
          <w:sz w:val="36"/>
          <w:szCs w:val="36"/>
        </w:rPr>
      </w:r>
      <w:r/>
    </w:p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867"/>
        <w:jc w:val="both"/>
        <w:rPr>
          <w:sz w:val="24"/>
          <w:lang w:val="en-US"/>
        </w:rPr>
      </w:pPr>
      <w:r>
        <w:rPr>
          <w:sz w:val="24"/>
          <w:lang w:val="en-US"/>
        </w:rPr>
      </w:r>
      <w:r/>
    </w:p>
    <w:p>
      <w:pPr>
        <w:pStyle w:val="867"/>
        <w:jc w:val="both"/>
        <w:rPr>
          <w:sz w:val="24"/>
        </w:rPr>
      </w:pPr>
      <w:r>
        <w:rPr>
          <w:sz w:val="24"/>
        </w:rPr>
      </w:r>
      <w:r/>
    </w:p>
    <w:p>
      <w:pPr>
        <w:pStyle w:val="867"/>
        <w:jc w:val="both"/>
        <w:rPr>
          <w:sz w:val="24"/>
        </w:rPr>
      </w:pPr>
      <w:r>
        <w:rPr>
          <w:sz w:val="24"/>
        </w:rPr>
      </w:r>
      <w:r/>
    </w:p>
    <w:p>
      <w:pPr>
        <w:pStyle w:val="867"/>
        <w:jc w:val="both"/>
        <w:rPr>
          <w:sz w:val="24"/>
        </w:rPr>
      </w:pPr>
      <w:r>
        <w:rPr>
          <w:sz w:val="24"/>
        </w:rPr>
      </w:r>
      <w:r/>
    </w:p>
    <w:p>
      <w:pPr>
        <w:pStyle w:val="867"/>
        <w:jc w:val="both"/>
        <w:rPr>
          <w:sz w:val="24"/>
        </w:rPr>
      </w:pPr>
      <w:r>
        <w:rPr>
          <w:sz w:val="24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140335</wp:posOffset>
                </wp:positionV>
                <wp:extent cx="6285865" cy="61404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614044"/>
                          <a:chOff x="0" y="0"/>
                          <a:chExt cx="6285864" cy="61404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308609"/>
                            <a:ext cx="6285864" cy="305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pStyle w:val="86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0824" y="0"/>
                            <a:ext cx="1536064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/>
                            </w:p>
                            <w:p>
                              <w:pPr>
                                <w:pStyle w:val="86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32679" y="3174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/>
                            </w:p>
                            <w:p>
                              <w:pPr>
                                <w:pStyle w:val="86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8pt;mso-position-horizontal:absolute;mso-position-vertical-relative:text;margin-top:11.0pt;mso-position-vertical:absolute;width:494.9pt;height:48.3pt;mso-wrap-distance-left:9.0pt;mso-wrap-distance-top:0.0pt;mso-wrap-distance-right:9.0pt;mso-wrap-distance-bottom:0.0pt;rotation:0;" coordorigin="0,0" coordsize="62858,6140">
                <v:shape id="shape 3" o:spid="_x0000_s3" o:spt="202" type="#_x0000_t202" style="position:absolute;left:0;top:3086;width:62858;height:3054;visibility:visible;" fillcolor="#FFFFFF" stroked="f">
                  <v:textbox inset="0,0,0,0">
                    <w:txbxContent>
                      <w:p>
                        <w:pPr>
                          <w:pStyle w:val="86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/>
                      </w:p>
                      <w:p>
                        <w:pPr>
                          <w:pStyle w:val="867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08;top:0;width:15360;height:3086;visibility:visible;" filled="f" stroked="f">
                  <v:textbox inset="0,0,0,0">
                    <w:txbxContent>
                      <w:p>
                        <w:pPr>
                          <w:pStyle w:val="86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  <w:p>
                        <w:pPr>
                          <w:pStyle w:val="867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326;top:31;width:10858;height:3086;visibility:visible;" fillcolor="#FFFFFF" stroked="f">
                  <v:textbox inset="0,0,0,0">
                    <w:txbxContent>
                      <w:p>
                        <w:pPr>
                          <w:pStyle w:val="86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  <w:p>
                        <w:pPr>
                          <w:pStyle w:val="86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7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</w:t>
      </w:r>
      <w:r>
        <w:rPr>
          <w:rFonts w:ascii="Times New Roman" w:hAnsi="Times New Roman" w:cs="Times New Roman"/>
        </w:rPr>
      </w:r>
      <w:r/>
    </w:p>
    <w:p>
      <w:pPr>
        <w:pStyle w:val="867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</w:t>
      </w:r>
      <w:r>
        <w:rPr>
          <w:rFonts w:ascii="Times New Roman" w:hAnsi="Times New Roman" w:cs="Times New Roman"/>
        </w:rPr>
      </w:r>
      <w:r/>
    </w:p>
    <w:p>
      <w:pPr>
        <w:pStyle w:val="867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</w:t>
      </w:r>
      <w:r>
        <w:rPr>
          <w:rFonts w:ascii="Times New Roman" w:hAnsi="Times New Roman" w:cs="Times New Roman"/>
        </w:rPr>
      </w:r>
      <w:r/>
    </w:p>
    <w:p>
      <w:pPr>
        <w:pStyle w:val="867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ценностям по муниципальному контролю</w:t>
      </w:r>
      <w:r>
        <w:rPr>
          <w:rFonts w:ascii="Times New Roman" w:hAnsi="Times New Roman" w:cs="Times New Roman"/>
        </w:rPr>
      </w:r>
      <w:r/>
    </w:p>
    <w:p>
      <w:pPr>
        <w:pStyle w:val="867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</w:t>
      </w:r>
      <w:r>
        <w:rPr>
          <w:rFonts w:ascii="Times New Roman" w:hAnsi="Times New Roman" w:cs="Times New Roman"/>
        </w:rPr>
      </w:r>
      <w:r/>
    </w:p>
    <w:p>
      <w:pPr>
        <w:pStyle w:val="867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</w:t>
      </w:r>
      <w:r>
        <w:rPr>
          <w:rFonts w:ascii="Times New Roman" w:hAnsi="Times New Roman" w:cs="Times New Roman"/>
        </w:rPr>
      </w:r>
      <w:r/>
    </w:p>
    <w:p>
      <w:pPr>
        <w:pStyle w:val="867"/>
        <w:contextualSpacing/>
        <w:jc w:val="both"/>
        <w:spacing w:before="0" w:after="0" w:line="283" w:lineRule="exac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Перми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</w:rPr>
      </w:r>
      <w:r/>
    </w:p>
    <w:p>
      <w:pPr>
        <w:pStyle w:val="867"/>
        <w:contextualSpacing/>
        <w:jc w:val="both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статьей 44 Федерал</w:t>
      </w:r>
      <w:r>
        <w:rPr>
          <w:sz w:val="28"/>
          <w:szCs w:val="28"/>
        </w:rPr>
        <w:t xml:space="preserve">ьного закона от 31 июля 2020 г.         </w:t>
      </w:r>
      <w:r>
        <w:rPr>
          <w:sz w:val="28"/>
          <w:szCs w:val="28"/>
        </w:rPr>
        <w:t xml:space="preserve">№ 248-ФЗ «О государственном контроле (надзоре) и муниципальном контроле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Российской Федерации», постановлением Правительства Российской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Федерации от 25 июня 2021 г. № 990 «Об утверждении </w:t>
      </w:r>
      <w:r>
        <w:rPr>
          <w:sz w:val="28"/>
          <w:szCs w:val="28"/>
        </w:rPr>
        <w:t xml:space="preserve">Правил разработки             и </w:t>
      </w:r>
      <w:r>
        <w:rPr>
          <w:sz w:val="28"/>
          <w:szCs w:val="28"/>
        </w:rPr>
        <w:t xml:space="preserve">утверждения контрольными (надзорными) органами программы профилактик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рисков причинения вреда (ущерба) охраняемым законом ценностям», решени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Пермской городской Думы от 21 декабря 2021 г. № 319 «Об утверждении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Положения о муниципальном контроле в сфере благоустройства на территори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Перми», от 29 января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2013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«О территориальных органах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администрации города Перми»:</w:t>
      </w:r>
      <w:r/>
    </w:p>
    <w:p>
      <w:pPr>
        <w:pStyle w:val="86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профилактики рисков причинения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вреда (ущерба) охраняемым законом ценностям по муниципальному контролю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 благоустройства на территории Кировс</w:t>
      </w:r>
      <w:r>
        <w:rPr>
          <w:sz w:val="28"/>
          <w:szCs w:val="28"/>
        </w:rPr>
        <w:t xml:space="preserve">кого района города Перми на 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(далее – Программа профилактики).</w:t>
      </w:r>
      <w:r/>
    </w:p>
    <w:p>
      <w:pPr>
        <w:pStyle w:val="86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благоустройства, сектору градостроительства, земельных </w:t>
        <w:br/>
        <w:t xml:space="preserve">и имущественных отношений, отделу потребительского рынка администрации Кировского района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 обеспечить выполнение Программы профилактики.</w:t>
      </w:r>
      <w:r/>
    </w:p>
    <w:p>
      <w:pPr>
        <w:pStyle w:val="86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Сектору по работе с обращениями и информированию населения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администрации Кировского района города Перми обеспечить опубликование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(обнародование) Программы профилактики на официальном сайте администрации Кировског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города Перми в информационно - телекоммуникационной сети Интернет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 3 дней со дня вступления в силу настоящего распоряжения.</w:t>
      </w:r>
      <w:r/>
    </w:p>
    <w:p>
      <w:pPr>
        <w:pStyle w:val="86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его официального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</w:t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Пермь».</w:t>
      </w:r>
      <w:r/>
    </w:p>
    <w:p>
      <w:pPr>
        <w:pStyle w:val="86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Общему отделу администрации Кировского района города Перми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обеспечить опубликование распоряжения в печатном средстве массовой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информации «Официальный бюллетень органов местного самоуправления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образования город Пермь».</w:t>
      </w:r>
      <w:r>
        <w:rPr>
          <w:sz w:val="28"/>
          <w:szCs w:val="28"/>
        </w:rPr>
      </w:r>
      <w:r/>
    </w:p>
    <w:p>
      <w:pPr>
        <w:pStyle w:val="86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настоящего распоряжения возложить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на первого заместителя главы администрации </w:t>
      </w:r>
      <w:r>
        <w:rPr>
          <w:sz w:val="28"/>
          <w:szCs w:val="28"/>
        </w:rPr>
        <w:t xml:space="preserve">Кировского района города Перми Павлушина А.С.</w:t>
      </w:r>
      <w:r>
        <w:rPr>
          <w:sz w:val="28"/>
          <w:szCs w:val="28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М.А.Борисов</w:t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contextualSpacing/>
        <w:jc w:val="center"/>
        <w:spacing w:before="0" w:after="0" w:line="283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УТВЕРЖДЕНА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/>
        <w:jc w:val="center"/>
        <w:spacing w:before="0" w:after="0" w:line="283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                      распоряжением главы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/>
        <w:jc w:val="center"/>
        <w:spacing w:before="0" w:after="0" w:line="283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                                    Кировского района города Перми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contextualSpacing/>
        <w:jc w:val="center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(проект)</w:t>
      </w:r>
      <w:r/>
    </w:p>
    <w:p>
      <w:pPr>
        <w:contextualSpacing/>
        <w:jc w:val="center"/>
        <w:spacing w:before="0" w:after="0" w:line="283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муниципальному контролю в сфере благоустройства </w:t>
        <w:br/>
        <w:t xml:space="preserve">на территории Кировского района города Перми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рограмма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аконом ценностям по муниципальному контролю в сфере благоустройства </w:t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территории Кировского района города Перми на 2025 год (далее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Программа профилактики)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разработана в 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положениями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от 31 июля 2021 г. № 248-ФЗ «О государственном контроле (надзоре) </w:t>
        <w:br/>
        <w:t xml:space="preserve">и муниципальном контроле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Федеральный закон № 248-ФЗ)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990 «Об утверждении Правил разработки и утверждения контрольными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(надзорными) органами программы профилактики рисков причинения вреда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(ущерба) охраняемым законом ценностям»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 Пермской городской Думы от 21.12.2021 № 319 «О муниципальном контроле в сфере благоустройства на территории города Перми».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Программа профилактики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предусматривает комплекс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Кировского района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Кировского района  города Перми осуществляется администрацией Кировского района города Перми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контрольный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контрольного в сфере благоустройства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ляется соблюдение организациями, гражданами, в том числе осуществляющими предпринимательскую деятельность, Правил благоустройства территории города Перми, утвержденных решением Пермской городской Думы от 15.12.2020 № 277, в том числе требований к обеспече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нию доступности для инвалидов объектов социальной, инженерной и транспортной инфраструктур и предоставляемых услуг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далее - обязательные требования)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в сфере благоустройства  являются: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</w:t>
        <w:br/>
        <w:t xml:space="preserve">к контролируемым лицам, осуществляющим деятельность, действия (бездействие),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результаты деятельности контролируемых лиц, в том числе продукция (товары), работы и услуги, к которым предъявляются обязательные требования,</w:t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дания, помещения, сооружения, линейные объекты, территории, включая водные, земельные и лесные участки, оборудование, устройства, предметы, материалы, компоненты природной среды, природные и природно-антропогенные объекты, другие объекты, которыми контроли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руемые лица владеют и (или) пользуются, компоненты природной среды, природные </w:t>
        <w:br/>
        <w:t xml:space="preserve">и природно-антропогенные объекты, не находящиеся во владении и (или) </w:t>
        <w:br/>
        <w:t xml:space="preserve">в пользовании граждан или организаций, к которым предъявляются обязательные требования.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center"/>
        <w:spacing w:before="0" w:after="0" w:line="283" w:lineRule="exact"/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 в сфере благоустройства на территории Кировского района города Перми, </w:t>
      </w:r>
      <w:bookmarkStart w:id="0" w:name="undefined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описание текущего уровня развития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профилактической деятельности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контрольного органа</w:t>
      </w:r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характеристика проблем, </w:t>
        <w:br/>
        <w:t xml:space="preserve">на решение которых направлена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Программа профилактики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contextualSpacing/>
        <w:ind w:firstLine="567"/>
        <w:jc w:val="center"/>
        <w:spacing w:before="0" w:after="0" w:line="283" w:lineRule="exact"/>
        <w:tabs>
          <w:tab w:val="left" w:pos="2977" w:leader="none"/>
        </w:tabs>
        <w:suppressLineNumbers w:val="0"/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240" w:lineRule="auto"/>
        <w:tabs>
          <w:tab w:val="left" w:pos="2977" w:leader="none"/>
        </w:tabs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решением Пермской городской Думы от 21.12.2021 </w:t>
        <w:br/>
        <w:t xml:space="preserve">№ 319 «О муниципальном контроле в сфере благоустройства на территории города Перми»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t xml:space="preserve"> плановые контрольные мероприятия при осуществлении муниципального контроля в сфере благоустройства не проводятся.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  <w:r/>
    </w:p>
    <w:p>
      <w:pPr>
        <w:pStyle w:val="867"/>
        <w:contextualSpacing/>
        <w:ind w:firstLine="709"/>
        <w:jc w:val="both"/>
        <w:spacing w:line="240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 336 «Об особенностях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осуществления государственного контроля (надзора), муниципального контроля» </w:t>
      </w:r>
      <w:r>
        <w:rPr>
          <w:rFonts w:ascii="Times New Roman" w:hAnsi="Times New Roman" w:cs="Times New Roman"/>
          <w:sz w:val="28"/>
          <w:szCs w:val="28"/>
        </w:rPr>
        <w:t xml:space="preserve">внеплановые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sz w:val="28"/>
          <w:szCs w:val="28"/>
        </w:rPr>
        <w:t xml:space="preserve">со взаимодействием с контролируемыми лицами </w:t>
      </w: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  <w:tab/>
      </w:r>
      <w:r>
        <w:rPr>
          <w:rFonts w:ascii="Times New Roman" w:hAnsi="Times New Roman" w:cs="Times New Roman"/>
          <w:sz w:val="28"/>
          <w:szCs w:val="28"/>
        </w:rPr>
        <w:t xml:space="preserve">В 2024 году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осуществлялись контрольные мероприятия без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контролируемыми лицами.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pStyle w:val="867"/>
        <w:contextualSpacing/>
        <w:ind w:firstLine="709"/>
        <w:jc w:val="both"/>
      </w:pPr>
      <w:r>
        <w:rPr>
          <w:sz w:val="28"/>
          <w:szCs w:val="28"/>
        </w:rPr>
        <w:t xml:space="preserve">В соответствии со статьей 44 Федерального закона № 248-ФЗ в целях стимулирования добросовестного соблюдения обязательных требований всеми контролируемыми лицами; устранени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и(или) причинению вреда (ущерба) охраняемым законом ценностям; создания условий для доведения обязательных требований до контролируемых лиц,</w:t>
      </w:r>
      <w:r>
        <w:rPr>
          <w:sz w:val="28"/>
          <w:szCs w:val="28"/>
        </w:rPr>
        <w:t xml:space="preserve"> повышения информированности о способах их соблюдения</w:t>
      </w:r>
      <w:r>
        <w:rPr>
          <w:sz w:val="28"/>
          <w:szCs w:val="28"/>
        </w:rPr>
        <w:t xml:space="preserve"> распоряжением и.о. главы администрации Кировского района города Перми от 20.12.2023 № 059-23-01-02-231 </w:t>
      </w:r>
      <w:r>
        <w:rPr>
          <w:sz w:val="28"/>
          <w:szCs w:val="28"/>
        </w:rPr>
        <w:t xml:space="preserve">утверждена Программа 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в сфере благоустройства на территории Кировского района города Перми на 2024</w:t>
      </w:r>
      <w:r>
        <w:rPr>
          <w:sz w:val="28"/>
          <w:szCs w:val="28"/>
        </w:rPr>
        <w:t xml:space="preserve"> год, которая, исполняется в полном объеме.</w:t>
      </w:r>
      <w:r>
        <w:rPr>
          <w:sz w:val="28"/>
          <w:szCs w:val="28"/>
        </w:rPr>
      </w:r>
      <w:r/>
    </w:p>
    <w:p>
      <w:pPr>
        <w:pStyle w:val="867"/>
        <w:contextualSpacing/>
        <w:ind w:firstLine="709"/>
        <w:jc w:val="both"/>
      </w:pPr>
      <w:r>
        <w:rPr>
          <w:sz w:val="28"/>
          <w:szCs w:val="28"/>
        </w:rPr>
        <w:t xml:space="preserve">Так, размещается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и поддерживается в актуальном состоянии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Кировског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города Перми </w:t>
        <w:br/>
        <w:t xml:space="preserve">в информационно - телекоммуникационной сети Интернет </w:t>
      </w:r>
      <w:r>
        <w:rPr>
          <w:sz w:val="28"/>
          <w:szCs w:val="28"/>
        </w:rPr>
        <w:t xml:space="preserve">(далее – официальный сайт)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информация, размещение которой предусмотрено частью 3 статьи 46 Федерального закона </w:t>
      </w:r>
      <w:r>
        <w:rPr>
          <w:sz w:val="28"/>
          <w:szCs w:val="28"/>
        </w:rPr>
        <w:t xml:space="preserve">№ 248-ФЗ.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7"/>
        <w:contextualSpacing/>
        <w:ind w:firstLine="709"/>
        <w:jc w:val="both"/>
      </w:pPr>
      <w:r>
        <w:rPr>
          <w:sz w:val="28"/>
          <w:szCs w:val="28"/>
        </w:rPr>
        <w:t xml:space="preserve"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актов, включенных в перечень.</w:t>
      </w:r>
      <w:r>
        <w:rPr>
          <w:sz w:val="28"/>
          <w:szCs w:val="28"/>
        </w:rPr>
      </w:r>
      <w:r/>
    </w:p>
    <w:p>
      <w:pPr>
        <w:pStyle w:val="867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Специалистами администрации Кировского района города Перми </w:t>
        <w:br/>
        <w:t xml:space="preserve">на регулярной основе</w:t>
      </w:r>
      <w:r>
        <w:rPr>
          <w:sz w:val="28"/>
          <w:szCs w:val="28"/>
        </w:rPr>
        <w:t xml:space="preserve"> посредством телефонной связи, в ходе личного приема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роводится консультирование контролируемых лиц по соблюдению обязательных требований.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Особое внимание по информированию контролируемых лиц </w:t>
        <w:br/>
        <w:t xml:space="preserve">о  соблюдении обязательных требований уделено  следующим вопросам: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надлежащему содержанию объектов в зимний период (принятию незамедлительных мер по уборке от снега и наледи дорог и тротуаров, по очистке конструктивных элементов зданий, строений, сооружений от снежно-ледовых образований);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устранению </w:t>
      </w:r>
      <w:r>
        <w:rPr>
          <w:sz w:val="28"/>
        </w:rPr>
        <w:t xml:space="preserve">надписей, г</w:t>
      </w:r>
      <w:r>
        <w:rPr>
          <w:sz w:val="28"/>
        </w:rPr>
        <w:t xml:space="preserve">рафических рисунков</w:t>
      </w:r>
      <w:r>
        <w:rPr>
          <w:sz w:val="28"/>
        </w:rPr>
        <w:t xml:space="preserve"> и иных изображений, </w:t>
      </w:r>
      <w:r>
        <w:rPr>
          <w:sz w:val="28"/>
        </w:rPr>
        <w:br/>
      </w:r>
      <w:r>
        <w:rPr>
          <w:sz w:val="28"/>
        </w:rPr>
        <w:t xml:space="preserve">содержащих </w:t>
      </w:r>
      <w:r>
        <w:rPr>
          <w:sz w:val="28"/>
        </w:rPr>
        <w:t xml:space="preserve">информацию, не соответству</w:t>
      </w:r>
      <w:r>
        <w:rPr>
          <w:sz w:val="28"/>
        </w:rPr>
        <w:t xml:space="preserve">ю</w:t>
      </w:r>
      <w:r>
        <w:rPr>
          <w:sz w:val="28"/>
        </w:rPr>
        <w:t xml:space="preserve">щ</w:t>
      </w:r>
      <w:r>
        <w:rPr>
          <w:sz w:val="28"/>
        </w:rPr>
        <w:t xml:space="preserve">ую</w:t>
      </w:r>
      <w:r>
        <w:rPr>
          <w:sz w:val="28"/>
        </w:rPr>
        <w:t xml:space="preserve"> </w:t>
      </w:r>
      <w:r>
        <w:rPr>
          <w:sz w:val="28"/>
        </w:rPr>
        <w:t xml:space="preserve">требованиям законодательства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надлежащему содержанию колодцев и люков инженерных коммуникаций, принятию незамедлительных мер по обеспечению безопасности людей при выявлении открытых колодцев;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соблюдению установленных сроков производства земляных работ;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недопущению складирования мусора, порубочных остатков деревьев </w:t>
        <w:br/>
        <w:t xml:space="preserve">на территории общего пользовани</w:t>
      </w:r>
      <w:r>
        <w:rPr>
          <w:sz w:val="28"/>
          <w:szCs w:val="28"/>
          <w:highlight w:val="none"/>
        </w:rPr>
        <w:t xml:space="preserve">я;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 установленным требованиям к внешнему виду и размещению некапитальных строений и сооружений;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соблюдению установленных требований к вывескам;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widowControl w:val="off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предотвращению распространения и уничтоже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нию борщевика Сосновского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данным аспектам в течение 2024 года еженедельно указанная информация доводилась до управляющих и ресурсоснабжающих организаций посредством проведения совещаний, направления информационных писем.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Также указанная информация размещалась на официальном сайте контрольного органа, направлялась в ТОС Кировского района с целью размещения на своих информационных ресурсах. </w:t>
      </w:r>
      <w:r>
        <w:rPr>
          <w:sz w:val="28"/>
          <w:szCs w:val="28"/>
          <w:highlight w:val="none"/>
        </w:rPr>
        <w:t xml:space="preserve">В частности информация 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  <w:t xml:space="preserve">по предотвращению распространения и уничтоже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нию борщевика Сосновского</w:t>
      </w:r>
      <w:r>
        <w:rPr>
          <w:sz w:val="28"/>
          <w:szCs w:val="28"/>
          <w:highlight w:val="none"/>
        </w:rPr>
        <w:t xml:space="preserve"> была размещена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телекоммуникационной сети интернет в сообществе  ВКонтакте на страницах: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«Общественность Кир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овского района»,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«МОО ТОС «Судозаводский»,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«МОО ТОС «Новые Водники»;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«ТОС «Налимиха»,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МОО ТОС «Октябрьский» Кировского района»,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«г. Пермь. ТОС Новая Налимиха»,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Кировская районная организация ПКО ВОИ,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«ТОС «Новый Крым»,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«Совет ветеранов Кировского района города Перми»,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«ТОС Центальный. Пермь, Закамск»,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«Олег – Вшивков Новый - Чистопольский»,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«ТОС «Химградский», «ТОС «Водники».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pStyle w:val="867"/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25 сентября 2024 года администрацией Кировского района города Перми в рамках проведения контрольных мероприятий </w:t>
        <w:br/>
        <w:t xml:space="preserve">без взаимодействия с контролируемыми лицами проведено 278 выездных обследований,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t xml:space="preserve">выданы предписания об устранении нарушений по 183 объектам</w:t>
      </w:r>
      <w:r>
        <w:rPr>
          <w:sz w:val="28"/>
          <w:szCs w:val="28"/>
        </w:rPr>
        <w:t xml:space="preserve">, объявлено 86 предостережений по 203 объектам.</w:t>
      </w:r>
      <w:r>
        <w:rPr>
          <w:sz w:val="28"/>
          <w:szCs w:val="28"/>
        </w:rPr>
      </w:r>
      <w:r/>
    </w:p>
    <w:p>
      <w:pPr>
        <w:pStyle w:val="867"/>
        <w:ind w:firstLine="709"/>
        <w:jc w:val="both"/>
        <w:spacing w:after="240"/>
        <w:widowControl w:val="off"/>
      </w:pPr>
      <w:r>
        <w:rPr>
          <w:sz w:val="28"/>
          <w:szCs w:val="28"/>
        </w:rPr>
        <w:t xml:space="preserve">Оценка эффективности Программы профилактики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осуществлялась по следующим показателям:</w:t>
      </w:r>
      <w:r>
        <w:rPr>
          <w:sz w:val="28"/>
          <w:szCs w:val="28"/>
        </w:rPr>
      </w:r>
      <w:r/>
    </w:p>
    <w:tbl>
      <w:tblPr>
        <w:tblW w:w="4969" w:type="pct"/>
        <w:tblInd w:w="62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6357"/>
        <w:gridCol w:w="3031"/>
      </w:tblGrid>
      <w:tr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Значение показателя </w:t>
              <w:br/>
              <w:t xml:space="preserve">за 2024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  <w:vertAlign w:val="superscript"/>
              </w:rPr>
            </w:r>
            <w:r/>
          </w:p>
        </w:tc>
      </w:tr>
    </w:tbl>
    <w:p>
      <w:pPr>
        <w:pStyle w:val="867"/>
      </w:pPr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4969" w:type="pct"/>
        <w:tblInd w:w="62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6357"/>
        <w:gridCol w:w="3031"/>
      </w:tblGrid>
      <w:tr>
        <w:trPr>
          <w:cantSplit/>
          <w:trHeight w:val="22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«Интернет» в соответствии </w:t>
              <w:br/>
              <w:t xml:space="preserve">с частью 3 статьи 46 Федерального закона</w:t>
            </w:r>
            <w:r>
              <w:rPr>
                <w:sz w:val="24"/>
                <w:szCs w:val="24"/>
              </w:rPr>
              <w:t xml:space="preserve"> № 248-ФЗ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sz w:val="24"/>
                <w:szCs w:val="24"/>
              </w:rPr>
              <w:t xml:space="preserve">Выполнено на </w:t>
            </w:r>
            <w:r>
              <w:rPr>
                <w:sz w:val="24"/>
                <w:szCs w:val="24"/>
              </w:rPr>
              <w:t xml:space="preserve">100 %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sz w:val="24"/>
                <w:szCs w:val="24"/>
              </w:rPr>
              <w:t xml:space="preserve">Доля устраненных нарушений, принятых контролируемыми лицами мер к соблюдению требований законодательства, от числа объявленных предостережений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sz w:val="24"/>
                <w:szCs w:val="24"/>
              </w:rPr>
              <w:t xml:space="preserve">Выполнено на 100 %</w:t>
            </w:r>
            <w:r>
              <w:rPr>
                <w:sz w:val="24"/>
                <w:szCs w:val="24"/>
              </w:rPr>
              <w:t xml:space="preserve"> Сведений об отказе </w:t>
              <w:br/>
              <w:t xml:space="preserve">в обеспечении соблюдения обязательных требований от контролируемых лиц </w:t>
              <w:br/>
              <w:t xml:space="preserve">не поступало </w:t>
              <w:br/>
            </w:r>
            <w:r/>
          </w:p>
        </w:tc>
      </w:tr>
      <w:tr>
        <w:trPr>
          <w:trHeight w:val="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6" w:type="pct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sz w:val="24"/>
                <w:szCs w:val="24"/>
              </w:rPr>
              <w:t xml:space="preserve">Доля лиц, получивших консультации, от общего количества обратившихся за консультациями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pct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Выполнено на 100 %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</w:tr>
    </w:tbl>
    <w:p>
      <w:pPr>
        <w:pStyle w:val="867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67"/>
        <w:ind w:firstLine="709"/>
        <w:jc w:val="both"/>
      </w:pPr>
      <w:r>
        <w:rPr>
          <w:sz w:val="28"/>
          <w:szCs w:val="28"/>
        </w:rPr>
        <w:t xml:space="preserve">Анализ текущего состояния осуществления </w:t>
      </w:r>
      <w:r>
        <w:rPr>
          <w:sz w:val="28"/>
          <w:szCs w:val="28"/>
        </w:rPr>
        <w:t xml:space="preserve">муниципального контроля </w:t>
        <w:br/>
        <w:t xml:space="preserve">в сфере благоустройства показывает, что уровень реализации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 профилактики является высоким, поскольку доля выполненных профилактических мероприятий соответствует запланированны</w:t>
      </w:r>
      <w:r>
        <w:rPr>
          <w:sz w:val="28"/>
          <w:szCs w:val="28"/>
        </w:rPr>
        <w:t xml:space="preserve">м показателям</w:t>
      </w:r>
      <w:r>
        <w:rPr>
          <w:sz w:val="28"/>
          <w:szCs w:val="28"/>
        </w:rPr>
        <w:t xml:space="preserve">, </w:t>
        <w:br/>
        <w:t xml:space="preserve">а, следовательно, изменение интенсивности </w:t>
      </w:r>
      <w:r>
        <w:rPr>
          <w:sz w:val="28"/>
          <w:szCs w:val="28"/>
        </w:rPr>
        <w:t xml:space="preserve">профилактических мероприятий </w:t>
        <w:br/>
        <w:t xml:space="preserve">не требуется.</w:t>
      </w:r>
      <w:r>
        <w:rPr>
          <w:b/>
          <w:bCs/>
          <w:sz w:val="28"/>
          <w:szCs w:val="28"/>
          <w:highlight w:val="none"/>
        </w:rPr>
      </w:r>
      <w:r/>
    </w:p>
    <w:p>
      <w:pPr>
        <w:contextualSpacing/>
        <w:jc w:val="center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67"/>
        <w:contextualSpacing/>
        <w:jc w:val="center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</w:rPr>
        <w:t xml:space="preserve">Раздел 2. Цели и задачи реализации Программы профилактики </w:t>
      </w:r>
      <w:r>
        <w:rPr>
          <w:b/>
          <w:bCs/>
          <w:sz w:val="28"/>
          <w:szCs w:val="28"/>
        </w:rPr>
      </w:r>
      <w:r/>
    </w:p>
    <w:p>
      <w:pPr>
        <w:pStyle w:val="867"/>
        <w:contextualSpacing/>
        <w:jc w:val="both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67"/>
        <w:contextualSpacing/>
        <w:jc w:val="center"/>
        <w:widowControl w:val="off"/>
        <w:outlineLvl w:val="2"/>
      </w:pPr>
      <w:r>
        <w:rPr>
          <w:b/>
          <w:bCs/>
          <w:sz w:val="28"/>
          <w:szCs w:val="28"/>
        </w:rPr>
        <w:t xml:space="preserve">Основными целями Программы профилактики являются:</w:t>
      </w:r>
      <w:r>
        <w:rPr>
          <w:b/>
          <w:bCs/>
          <w:sz w:val="28"/>
          <w:szCs w:val="28"/>
        </w:rPr>
      </w:r>
      <w:r/>
    </w:p>
    <w:p>
      <w:pPr>
        <w:pStyle w:val="867"/>
        <w:contextualSpacing/>
        <w:jc w:val="center"/>
        <w:widowControl w:val="off"/>
        <w:outlineLvl w:val="2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67"/>
        <w:numPr>
          <w:ilvl w:val="0"/>
          <w:numId w:val="1"/>
        </w:numPr>
        <w:contextualSpacing/>
        <w:ind w:left="0" w:firstLine="709"/>
        <w:jc w:val="both"/>
        <w:spacing w:after="200"/>
        <w:widowControl w:val="off"/>
        <w:outlineLvl w:val="2"/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лицами.</w:t>
      </w:r>
      <w:r>
        <w:rPr>
          <w:sz w:val="28"/>
          <w:szCs w:val="28"/>
        </w:rPr>
      </w:r>
      <w:r/>
    </w:p>
    <w:p>
      <w:pPr>
        <w:pStyle w:val="867"/>
        <w:numPr>
          <w:ilvl w:val="0"/>
          <w:numId w:val="1"/>
        </w:numPr>
        <w:contextualSpacing/>
        <w:ind w:left="0" w:firstLine="709"/>
        <w:jc w:val="both"/>
        <w:spacing w:after="200"/>
        <w:widowControl w:val="off"/>
        <w:outlineLvl w:val="2"/>
      </w:pPr>
      <w:r>
        <w:rPr>
          <w:sz w:val="28"/>
          <w:szCs w:val="28"/>
        </w:rPr>
        <w:t xml:space="preserve">Устранение условий, причин и факторов, способных привести </w:t>
        <w:br/>
        <w:t xml:space="preserve">к нарушениям обязательных требований и (или) причинению вреда (ущерба) охраняемым законом ценностям.</w:t>
      </w:r>
      <w:r>
        <w:rPr>
          <w:bCs/>
          <w:sz w:val="28"/>
          <w:szCs w:val="28"/>
        </w:rPr>
      </w:r>
      <w:r/>
    </w:p>
    <w:p>
      <w:pPr>
        <w:pStyle w:val="867"/>
        <w:numPr>
          <w:ilvl w:val="0"/>
          <w:numId w:val="1"/>
        </w:numPr>
        <w:contextualSpacing/>
        <w:ind w:left="0" w:firstLine="709"/>
        <w:jc w:val="both"/>
        <w:spacing w:after="200"/>
        <w:widowControl w:val="off"/>
        <w:outlineLvl w:val="2"/>
      </w:pPr>
      <w:r>
        <w:rPr>
          <w:sz w:val="28"/>
          <w:szCs w:val="28"/>
        </w:rPr>
        <w:t xml:space="preserve">Создание условий для доведения обязательных требований </w:t>
        <w:br/>
        <w:t xml:space="preserve">до контролируемых лиц, повышение информированности о способах </w:t>
        <w:br/>
        <w:t xml:space="preserve">их соблюдения.</w:t>
      </w:r>
      <w:r>
        <w:rPr>
          <w:bCs/>
          <w:sz w:val="28"/>
          <w:szCs w:val="28"/>
        </w:rPr>
      </w:r>
      <w:r/>
    </w:p>
    <w:p>
      <w:pPr>
        <w:pStyle w:val="867"/>
        <w:numPr>
          <w:ilvl w:val="0"/>
          <w:numId w:val="1"/>
        </w:numPr>
        <w:contextualSpacing/>
        <w:ind w:left="0" w:firstLine="709"/>
        <w:jc w:val="both"/>
        <w:spacing w:after="200"/>
        <w:widowControl w:val="off"/>
        <w:outlineLvl w:val="2"/>
      </w:pPr>
      <w:r>
        <w:rPr>
          <w:bCs/>
          <w:sz w:val="28"/>
          <w:szCs w:val="28"/>
        </w:rPr>
        <w:t xml:space="preserve">Предупреждение нарушений обязательных требований со стороны контролируемых лиц.</w:t>
      </w:r>
      <w:r>
        <w:rPr>
          <w:bCs/>
          <w:sz w:val="28"/>
          <w:szCs w:val="28"/>
        </w:rPr>
      </w:r>
      <w:r/>
    </w:p>
    <w:p>
      <w:pPr>
        <w:pStyle w:val="867"/>
        <w:numPr>
          <w:ilvl w:val="0"/>
          <w:numId w:val="1"/>
        </w:numPr>
        <w:ind w:left="0" w:firstLine="709"/>
        <w:jc w:val="both"/>
        <w:spacing w:after="360"/>
        <w:outlineLvl w:val="2"/>
      </w:pPr>
      <w:r>
        <w:rPr>
          <w:bCs/>
          <w:sz w:val="28"/>
          <w:szCs w:val="28"/>
        </w:rPr>
        <w:t xml:space="preserve">Повышение открытости и прозрачности деятельности контрольного органа</w:t>
      </w:r>
      <w:r>
        <w:rPr>
          <w:bCs/>
          <w:sz w:val="28"/>
          <w:szCs w:val="28"/>
        </w:rPr>
        <w:t xml:space="preserve"> при осуществлении </w:t>
      </w:r>
      <w:r>
        <w:rPr>
          <w:bCs/>
          <w:sz w:val="28"/>
          <w:szCs w:val="28"/>
        </w:rPr>
        <w:t xml:space="preserve">муниципального контроля</w:t>
      </w:r>
      <w:r>
        <w:rPr>
          <w:bCs/>
          <w:sz w:val="28"/>
          <w:szCs w:val="28"/>
        </w:rPr>
        <w:t xml:space="preserve"> в сфере благоустройства.</w:t>
      </w:r>
      <w:r>
        <w:rPr>
          <w:b/>
          <w:bCs/>
          <w:sz w:val="28"/>
          <w:szCs w:val="28"/>
        </w:rPr>
      </w:r>
      <w:r/>
    </w:p>
    <w:p>
      <w:pPr>
        <w:pStyle w:val="867"/>
        <w:contextualSpacing/>
        <w:jc w:val="center"/>
        <w:outlineLvl w:val="2"/>
        <w:suppressLineNumbers w:val="0"/>
      </w:pPr>
      <w:r>
        <w:rPr>
          <w:b/>
          <w:bCs/>
          <w:sz w:val="28"/>
          <w:szCs w:val="28"/>
        </w:rPr>
        <w:t xml:space="preserve">Проведение профилактических мероприятий Программы профилактики  направлено</w:t>
      </w:r>
      <w:r>
        <w:rPr>
          <w:b/>
          <w:bCs/>
          <w:sz w:val="28"/>
          <w:szCs w:val="28"/>
        </w:rPr>
        <w:t xml:space="preserve"> на решение следующих задач:</w:t>
      </w:r>
      <w:r>
        <w:rPr>
          <w:b/>
          <w:bCs/>
          <w:sz w:val="28"/>
          <w:szCs w:val="28"/>
        </w:rPr>
      </w:r>
      <w:r/>
    </w:p>
    <w:p>
      <w:pPr>
        <w:pStyle w:val="867"/>
        <w:contextualSpacing/>
        <w:ind w:firstLine="709"/>
        <w:jc w:val="both"/>
        <w:outlineLvl w:val="2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67"/>
        <w:contextualSpacing/>
        <w:ind w:firstLine="709"/>
        <w:jc w:val="both"/>
        <w:outlineLvl w:val="2"/>
      </w:pPr>
      <w:r>
        <w:rPr>
          <w:bCs/>
          <w:sz w:val="28"/>
          <w:szCs w:val="28"/>
        </w:rPr>
        <w:t xml:space="preserve">1. Выявление и устранение причин, факторов и условий, способствующих нарушениям обязательных требований законодательства.</w:t>
      </w:r>
      <w:r>
        <w:rPr>
          <w:bCs/>
          <w:sz w:val="28"/>
          <w:szCs w:val="28"/>
        </w:rPr>
      </w:r>
      <w:r/>
    </w:p>
    <w:p>
      <w:pPr>
        <w:pStyle w:val="867"/>
        <w:contextualSpacing/>
        <w:ind w:firstLine="709"/>
        <w:jc w:val="both"/>
        <w:outlineLvl w:val="2"/>
      </w:pPr>
      <w:r>
        <w:rPr>
          <w:bCs/>
          <w:sz w:val="28"/>
          <w:szCs w:val="28"/>
        </w:rPr>
        <w:t xml:space="preserve">2. Определение способов устранения или снижения рисков возникновения нарушений обязательных требований.</w:t>
      </w:r>
      <w:r>
        <w:rPr>
          <w:bCs/>
          <w:sz w:val="28"/>
          <w:szCs w:val="28"/>
        </w:rPr>
      </w:r>
      <w:r/>
    </w:p>
    <w:p>
      <w:pPr>
        <w:pStyle w:val="867"/>
        <w:contextualSpacing/>
        <w:ind w:firstLine="709"/>
        <w:jc w:val="both"/>
        <w:outlineLvl w:val="2"/>
      </w:pPr>
      <w:r>
        <w:rPr>
          <w:bCs/>
          <w:sz w:val="28"/>
          <w:szCs w:val="28"/>
        </w:rPr>
        <w:t xml:space="preserve">3. Принятие мер по предупреждению нарушений контролируемыми лицами обязательных требований законодательства.</w:t>
      </w:r>
      <w:r>
        <w:rPr>
          <w:bCs/>
          <w:sz w:val="28"/>
          <w:szCs w:val="28"/>
        </w:rPr>
      </w:r>
      <w:r/>
    </w:p>
    <w:p>
      <w:pPr>
        <w:pStyle w:val="867"/>
        <w:contextualSpacing/>
        <w:ind w:firstLine="709"/>
        <w:jc w:val="both"/>
        <w:outlineLvl w:val="2"/>
      </w:pPr>
      <w:r>
        <w:rPr>
          <w:bCs/>
          <w:sz w:val="28"/>
          <w:szCs w:val="28"/>
        </w:rPr>
        <w:t xml:space="preserve">4. Создание мотивации к добросовестному ведению хозяйственной деятельности контролируемыми лицами.</w:t>
      </w:r>
      <w:r>
        <w:rPr>
          <w:bCs/>
          <w:sz w:val="28"/>
          <w:szCs w:val="28"/>
        </w:rPr>
      </w:r>
      <w:r/>
    </w:p>
    <w:p>
      <w:pPr>
        <w:pStyle w:val="867"/>
        <w:contextualSpacing/>
        <w:ind w:firstLine="709"/>
        <w:jc w:val="both"/>
        <w:outlineLvl w:val="2"/>
      </w:pPr>
      <w:r>
        <w:rPr>
          <w:sz w:val="28"/>
          <w:szCs w:val="28"/>
        </w:rPr>
        <w:t xml:space="preserve">5. Укрепление системы профилактики нарушений рисков причинения вреда (ущерба) охраняемым законом ценностям.</w:t>
      </w:r>
      <w:r>
        <w:rPr>
          <w:sz w:val="28"/>
          <w:szCs w:val="28"/>
        </w:rPr>
      </w:r>
      <w:r/>
    </w:p>
    <w:p>
      <w:pPr>
        <w:pStyle w:val="867"/>
        <w:contextualSpacing/>
        <w:ind w:firstLine="709"/>
        <w:jc w:val="both"/>
        <w:outlineLvl w:val="2"/>
      </w:pPr>
      <w:r>
        <w:rPr>
          <w:iCs/>
          <w:sz w:val="28"/>
          <w:szCs w:val="28"/>
        </w:rPr>
        <w:t xml:space="preserve">6. Повышение уровня правовой грамотности контролируемых лиц в области соблюдения Правил благоустройства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города Перми</w:t>
      </w:r>
      <w:r>
        <w:rPr>
          <w:iCs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67"/>
        <w:ind w:firstLine="709"/>
        <w:jc w:val="both"/>
        <w:outlineLvl w:val="2"/>
      </w:pPr>
      <w:r>
        <w:rPr>
          <w:sz w:val="28"/>
          <w:szCs w:val="28"/>
        </w:rPr>
        <w:t xml:space="preserve"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  <w:r>
        <w:rPr>
          <w:sz w:val="28"/>
          <w:szCs w:val="28"/>
        </w:rPr>
      </w:r>
      <w:r/>
    </w:p>
    <w:p>
      <w:pPr>
        <w:pStyle w:val="867"/>
        <w:ind w:firstLine="709"/>
        <w:jc w:val="both"/>
        <w:spacing w:after="360"/>
        <w:outlineLvl w:val="2"/>
      </w:pPr>
      <w:r>
        <w:rPr>
          <w:sz w:val="28"/>
          <w:szCs w:val="28"/>
        </w:rPr>
        <w:t xml:space="preserve">8. Повышение открытости и прозрачности деятельности контрольного органа</w:t>
      </w:r>
      <w:r>
        <w:rPr>
          <w:sz w:val="28"/>
          <w:szCs w:val="28"/>
        </w:rPr>
        <w:t xml:space="preserve"> при осуществлении муниципального контроля в сфере благоустройства</w:t>
      </w:r>
      <w:r>
        <w:rPr>
          <w:sz w:val="28"/>
          <w:szCs w:val="28"/>
        </w:rPr>
      </w:r>
      <w:r/>
    </w:p>
    <w:p>
      <w:pPr>
        <w:pStyle w:val="867"/>
        <w:contextualSpacing/>
        <w:jc w:val="center"/>
        <w:spacing w:before="0" w:after="0" w:line="283" w:lineRule="exact"/>
        <w:outlineLvl w:val="1"/>
        <w:suppressLineNumbers w:val="0"/>
      </w:pPr>
      <w:r>
        <w:rPr>
          <w:b/>
          <w:bCs/>
          <w:sz w:val="28"/>
          <w:szCs w:val="28"/>
        </w:rPr>
        <w:t xml:space="preserve">Раздел 3. Перечень профилактических мероприятий,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сроки (периодичность) их проведения</w:t>
      </w:r>
      <w:r>
        <w:rPr>
          <w:b/>
          <w:bCs/>
          <w:sz w:val="28"/>
          <w:szCs w:val="28"/>
        </w:rPr>
      </w:r>
      <w:r/>
    </w:p>
    <w:p>
      <w:pPr>
        <w:pStyle w:val="867"/>
        <w:contextualSpacing/>
        <w:ind w:firstLine="709"/>
        <w:jc w:val="both"/>
        <w:widowControl w:val="off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67"/>
        <w:contextualSpacing/>
        <w:ind w:firstLine="708"/>
        <w:jc w:val="both"/>
        <w:widowControl w:val="off"/>
        <w:outlineLvl w:val="1"/>
      </w:pPr>
      <w:r>
        <w:rPr>
          <w:rFonts w:eastAsia="Calibri"/>
          <w:sz w:val="28"/>
          <w:szCs w:val="28"/>
          <w:lang w:eastAsia="en-US"/>
        </w:rPr>
        <w:t xml:space="preserve"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 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67"/>
        <w:contextualSpacing/>
        <w:ind w:firstLine="708"/>
        <w:jc w:val="both"/>
        <w:outlineLvl w:val="1"/>
      </w:pPr>
      <w:r>
        <w:rPr>
          <w:rFonts w:eastAsia="Calibri"/>
          <w:sz w:val="28"/>
          <w:szCs w:val="28"/>
          <w:lang w:eastAsia="en-US"/>
        </w:rPr>
        <w:t xml:space="preserve">Администрация Кировского района города Перми в рамках осуществления муниципального контроля в сфере благоустройства проводит следующие профилактические мероприятия: 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67"/>
        <w:contextualSpacing/>
        <w:ind w:firstLine="708"/>
        <w:jc w:val="both"/>
        <w:outlineLvl w:val="1"/>
      </w:pPr>
      <w:r>
        <w:rPr>
          <w:rFonts w:eastAsia="Calibri"/>
          <w:sz w:val="28"/>
          <w:szCs w:val="28"/>
          <w:lang w:eastAsia="en-US"/>
        </w:rPr>
        <w:t xml:space="preserve">1) информирование; 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67"/>
        <w:contextualSpacing/>
        <w:ind w:firstLine="708"/>
        <w:jc w:val="both"/>
        <w:outlineLvl w:val="1"/>
      </w:pPr>
      <w:r>
        <w:rPr>
          <w:rFonts w:eastAsia="Calibri"/>
          <w:sz w:val="28"/>
          <w:szCs w:val="28"/>
          <w:lang w:eastAsia="en-US"/>
        </w:rPr>
        <w:t xml:space="preserve">2) консультирование;объявление предостережения; 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67"/>
        <w:ind w:firstLine="709"/>
        <w:jc w:val="both"/>
        <w:spacing w:after="240"/>
        <w:outlineLvl w:val="1"/>
      </w:pPr>
      <w:r>
        <w:rPr>
          <w:rFonts w:eastAsia="Calibri"/>
          <w:sz w:val="28"/>
          <w:szCs w:val="28"/>
          <w:lang w:eastAsia="en-US"/>
        </w:rPr>
        <w:t xml:space="preserve">3) </w:t>
      </w:r>
      <w:r>
        <w:rPr>
          <w:rFonts w:eastAsia="Calibri"/>
          <w:sz w:val="28"/>
          <w:szCs w:val="28"/>
          <w:lang w:eastAsia="en-US"/>
        </w:rPr>
        <w:t xml:space="preserve">объявление предостережения</w:t>
      </w:r>
      <w:r>
        <w:rPr>
          <w:rFonts w:eastAsia="Calibri"/>
          <w:sz w:val="28"/>
          <w:szCs w:val="28"/>
          <w:lang w:eastAsia="en-US"/>
        </w:rPr>
        <w:t xml:space="preserve">.</w:t>
      </w:r>
      <w:r/>
    </w:p>
    <w:p>
      <w:pPr>
        <w:pStyle w:val="867"/>
        <w:contextualSpacing/>
        <w:ind w:firstLine="708"/>
        <w:jc w:val="center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</w:rPr>
        <w:t xml:space="preserve">Перечень мероприятий Программы профилактики на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год,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сроки их реализации и ответств</w:t>
      </w:r>
      <w:r>
        <w:rPr>
          <w:b/>
          <w:bCs/>
          <w:sz w:val="28"/>
          <w:szCs w:val="28"/>
        </w:rPr>
        <w:t xml:space="preserve">енные структурные подразделения</w:t>
      </w:r>
      <w:r>
        <w:rPr>
          <w:b/>
          <w:bCs/>
          <w:sz w:val="28"/>
          <w:szCs w:val="28"/>
        </w:rPr>
      </w:r>
      <w:r/>
    </w:p>
    <w:p>
      <w:pPr>
        <w:contextualSpacing/>
        <w:ind w:firstLine="708"/>
        <w:jc w:val="center"/>
        <w:outlineLvl w:val="1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tbl>
      <w:tblPr>
        <w:tblW w:w="9923" w:type="dxa"/>
        <w:tblInd w:w="6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768"/>
        <w:gridCol w:w="389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iCs/>
                <w:sz w:val="24"/>
                <w:szCs w:val="24"/>
              </w:rPr>
              <w:t xml:space="preserve">№ п/п 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iCs/>
                <w:sz w:val="24"/>
                <w:szCs w:val="24"/>
              </w:rPr>
              <w:t xml:space="preserve">Наименование профилактического мероприятия 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iCs/>
                <w:sz w:val="24"/>
                <w:szCs w:val="24"/>
              </w:rPr>
              <w:t xml:space="preserve">Срок (периодичность) проведения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iCs/>
                <w:sz w:val="24"/>
                <w:szCs w:val="24"/>
              </w:rPr>
              <w:t xml:space="preserve">Структурное подразделение, ответственное за реализацию</w:t>
            </w:r>
            <w:r>
              <w:rPr>
                <w:iCs/>
                <w:sz w:val="24"/>
                <w:szCs w:val="24"/>
              </w:rPr>
            </w:r>
            <w:r/>
          </w:p>
        </w:tc>
      </w:tr>
    </w:tbl>
    <w:p>
      <w:pPr>
        <w:pStyle w:val="867"/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9923" w:type="dxa"/>
        <w:tblInd w:w="6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768"/>
        <w:gridCol w:w="3894"/>
      </w:tblGrid>
      <w:tr>
        <w:trPr>
          <w:trHeight w:val="14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iCs/>
                <w:sz w:val="24"/>
                <w:szCs w:val="24"/>
              </w:rPr>
              <w:t xml:space="preserve">1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iCs/>
                <w:sz w:val="24"/>
                <w:szCs w:val="24"/>
              </w:rPr>
              <w:t xml:space="preserve">2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iCs/>
                <w:sz w:val="24"/>
                <w:szCs w:val="24"/>
              </w:rPr>
              <w:t xml:space="preserve">3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iCs/>
                <w:sz w:val="24"/>
                <w:szCs w:val="24"/>
              </w:rPr>
              <w:t xml:space="preserve">4</w:t>
            </w:r>
            <w:r>
              <w:rPr>
                <w:iCs/>
                <w:sz w:val="24"/>
                <w:szCs w:val="24"/>
              </w:rPr>
            </w:r>
            <w:r/>
          </w:p>
        </w:tc>
      </w:tr>
      <w:tr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1. 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Информирование</w:t>
            </w:r>
            <w:r>
              <w:rPr>
                <w:iCs/>
                <w:sz w:val="24"/>
                <w:szCs w:val="24"/>
              </w:rPr>
              <w:t xml:space="preserve">: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1.1.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а</w:t>
            </w:r>
            <w:r>
              <w:rPr>
                <w:iCs/>
                <w:sz w:val="24"/>
                <w:szCs w:val="24"/>
              </w:rPr>
              <w:t xml:space="preserve">ктуализация </w:t>
            </w:r>
            <w:r>
              <w:rPr>
                <w:iCs/>
                <w:sz w:val="24"/>
                <w:szCs w:val="24"/>
              </w:rPr>
              <w:t xml:space="preserve">сведений, предусмотренных частью 3 статьи 46 Федерального закона </w:t>
              <w:br/>
              <w:t xml:space="preserve">№ 248-ФЗ</w:t>
            </w:r>
            <w:r>
              <w:rPr>
                <w:iCs/>
                <w:sz w:val="24"/>
                <w:szCs w:val="24"/>
              </w:rPr>
              <w:t xml:space="preserve">, размещенных </w:t>
              <w:br/>
              <w:t xml:space="preserve">на официальном сайте контрольного органа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не позднее пяти рабочих дней после дня их изменения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отдел благоустройства,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сектор градостроительства, земельных и имущественных отношений, 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отдел потребительского рынка</w:t>
            </w:r>
            <w:r>
              <w:rPr>
                <w:iCs/>
                <w:sz w:val="24"/>
                <w:szCs w:val="24"/>
              </w:rPr>
              <w:t xml:space="preserve"> администрации Кировского района города Перми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2.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Консультирование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sz w:val="24"/>
                <w:szCs w:val="24"/>
              </w:rPr>
              <w:t xml:space="preserve">по следующим вопросам: </w:t>
            </w:r>
            <w:r>
              <w:rPr>
                <w:iCs/>
                <w:sz w:val="24"/>
                <w:szCs w:val="24"/>
              </w:rPr>
              <w:t xml:space="preserve">организация </w:t>
            </w:r>
            <w:r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 xml:space="preserve">и осуществление муниципального контроля в сфере благоустройства;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67"/>
              <w:contextualSpacing/>
              <w:rPr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 xml:space="preserve">порядок осуществления профилактических, контрольных м</w:t>
            </w:r>
            <w:r>
              <w:rPr>
                <w:iCs/>
                <w:sz w:val="24"/>
                <w:szCs w:val="24"/>
              </w:rPr>
              <w:t xml:space="preserve">ероприятий: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2.1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по телефонам: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8(342)205-62-19, 8(342)205-62-20,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  <w:t xml:space="preserve">8(342)205-62-21,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  <w:t xml:space="preserve">8(342)205-62-04,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  <w:t xml:space="preserve">8(342)205-62-22,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  <w:t xml:space="preserve">8(342)205-62-24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при обращении контролируемых лиц;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</w:pPr>
            <w:r>
              <w:rPr>
                <w:sz w:val="24"/>
                <w:szCs w:val="24"/>
              </w:rPr>
              <w:t xml:space="preserve">время консультирования не должно превышать </w:t>
              <w:br/>
              <w:t xml:space="preserve">15 минут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отдел благоустройства,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contextualSpacing/>
            </w:pPr>
            <w:r>
              <w:rPr>
                <w:iCs/>
                <w:sz w:val="24"/>
                <w:szCs w:val="24"/>
              </w:rPr>
              <w:t xml:space="preserve">сектор градостроительства, земельных и имущественных отношений, 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/>
            </w:pPr>
            <w:r>
              <w:rPr>
                <w:iCs/>
                <w:sz w:val="24"/>
                <w:szCs w:val="24"/>
              </w:rPr>
              <w:t xml:space="preserve">отдел потребительского рынка</w:t>
            </w:r>
            <w:r>
              <w:rPr>
                <w:iCs/>
                <w:sz w:val="24"/>
                <w:szCs w:val="24"/>
              </w:rPr>
              <w:t xml:space="preserve"> администрации Кировского района города Перми</w:t>
            </w:r>
            <w:r>
              <w:rPr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2.2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с использованием видео-конференц связи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(при наличии технической возможности)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при обращении контролируемых лиц;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</w:pPr>
            <w:r>
              <w:rPr>
                <w:sz w:val="24"/>
                <w:szCs w:val="24"/>
              </w:rPr>
              <w:t xml:space="preserve">время консультирования не должно превышать </w:t>
              <w:br/>
              <w:t xml:space="preserve">15 минут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отдел благоустройства,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contextualSpacing/>
            </w:pPr>
            <w:r>
              <w:rPr>
                <w:iCs/>
                <w:sz w:val="24"/>
                <w:szCs w:val="24"/>
              </w:rPr>
              <w:t xml:space="preserve">сектор градостроительства, земельных и имущественных отношений, 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/>
            </w:pPr>
            <w:r>
              <w:rPr>
                <w:iCs/>
                <w:sz w:val="24"/>
                <w:szCs w:val="24"/>
              </w:rPr>
              <w:t xml:space="preserve">отдел потребительского рынка</w:t>
            </w:r>
            <w:r>
              <w:rPr>
                <w:iCs/>
                <w:sz w:val="24"/>
                <w:szCs w:val="24"/>
              </w:rPr>
              <w:t xml:space="preserve"> администрации Кировского района города Перми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2.3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на личном приеме</w:t>
            </w:r>
            <w:r>
              <w:rPr>
                <w:iCs/>
                <w:sz w:val="24"/>
                <w:szCs w:val="24"/>
              </w:rPr>
              <w:t xml:space="preserve"> </w:t>
              <w:br/>
              <w:t xml:space="preserve">по адресу: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614101, г. Пермь, 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ул. Кировоградская, 33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br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при обращении контролируемых лиц;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</w:pPr>
            <w:r>
              <w:rPr>
                <w:sz w:val="24"/>
                <w:szCs w:val="24"/>
              </w:rPr>
              <w:t xml:space="preserve">время консультирования не должно превышать </w:t>
              <w:br/>
              <w:t xml:space="preserve">15 минут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отдел благоустройства,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contextualSpacing/>
            </w:pPr>
            <w:r>
              <w:rPr>
                <w:iCs/>
                <w:sz w:val="24"/>
                <w:szCs w:val="24"/>
              </w:rPr>
              <w:t xml:space="preserve">сектор градостроительства, земельных и имущественных отношений,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отдел потребительского рынка</w:t>
            </w:r>
            <w:r>
              <w:rPr>
                <w:iCs/>
                <w:sz w:val="24"/>
                <w:szCs w:val="24"/>
              </w:rPr>
              <w:t xml:space="preserve"> администрации Кировского района города Перми</w:t>
            </w:r>
            <w:r>
              <w:rPr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2.4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в ходе проведения профилактических мероприятий, контрольных мероприятий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при обращении контролируемых лиц;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</w:pPr>
            <w:r>
              <w:rPr>
                <w:sz w:val="24"/>
                <w:szCs w:val="24"/>
              </w:rPr>
              <w:t xml:space="preserve">время консультирования не должно превышать </w:t>
              <w:br/>
              <w:t xml:space="preserve">15 минут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отдел благоустройства,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contextualSpacing/>
            </w:pPr>
            <w:r>
              <w:rPr>
                <w:iCs/>
                <w:sz w:val="24"/>
                <w:szCs w:val="24"/>
              </w:rPr>
              <w:t xml:space="preserve">сектор градостроительства, земельных и имущественных отношений, 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iCs/>
                <w:sz w:val="24"/>
                <w:szCs w:val="24"/>
              </w:rPr>
              <w:t xml:space="preserve">отдел потребительского рынка</w:t>
            </w:r>
            <w:r>
              <w:rPr>
                <w:iCs/>
                <w:sz w:val="24"/>
                <w:szCs w:val="24"/>
              </w:rPr>
              <w:t xml:space="preserve"> администрации Кировского района города Перми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2.5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в письменной форме</w:t>
            </w:r>
            <w:r>
              <w:rPr>
                <w:iCs/>
                <w:sz w:val="24"/>
                <w:szCs w:val="24"/>
              </w:rPr>
              <w:t xml:space="preserve"> </w:t>
              <w:br/>
              <w:t xml:space="preserve">в случаях: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представлен письменный запрос </w:t>
            </w:r>
            <w:r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 xml:space="preserve">о представлении письменного отве</w:t>
            </w:r>
            <w:r>
              <w:rPr>
                <w:iCs/>
                <w:sz w:val="24"/>
                <w:szCs w:val="24"/>
              </w:rPr>
              <w:t xml:space="preserve">та </w:t>
              <w:br/>
              <w:t xml:space="preserve">по вопросам консультирования;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за время консультирования представить ответ </w:t>
            </w:r>
            <w:r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 xml:space="preserve">на </w:t>
            </w:r>
            <w:r>
              <w:rPr>
                <w:iCs/>
                <w:sz w:val="24"/>
                <w:szCs w:val="24"/>
              </w:rPr>
              <w:t xml:space="preserve">поставленные вопросы невозможно;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ответ на поставленные вопросы требует дополнительного запроса сведений </w:t>
            </w:r>
            <w:r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 xml:space="preserve">от органов власти или иных лиц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в указанных случаях </w:t>
              <w:br/>
              <w:t xml:space="preserve">в сроки</w:t>
            </w:r>
            <w:r>
              <w:rPr>
                <w:iCs/>
                <w:sz w:val="24"/>
                <w:szCs w:val="24"/>
              </w:rPr>
              <w:t xml:space="preserve">, установленные Федеральным законом </w:t>
            </w:r>
            <w:r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 xml:space="preserve">от 02.05.2006 </w:t>
            </w:r>
            <w:r>
              <w:rPr>
                <w:iCs/>
                <w:sz w:val="24"/>
                <w:szCs w:val="24"/>
              </w:rPr>
              <w:t xml:space="preserve">№ 59-ФЗ «</w:t>
            </w:r>
            <w:r>
              <w:rPr>
                <w:iCs/>
                <w:sz w:val="24"/>
                <w:szCs w:val="24"/>
              </w:rPr>
              <w:t xml:space="preserve">О порядке рассмотрения обращен</w:t>
            </w:r>
            <w:r>
              <w:rPr>
                <w:iCs/>
                <w:sz w:val="24"/>
                <w:szCs w:val="24"/>
              </w:rPr>
              <w:t xml:space="preserve">ий граждан Российской Федерации»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отдел благоустройства,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contextualSpacing/>
            </w:pPr>
            <w:r>
              <w:rPr>
                <w:iCs/>
                <w:sz w:val="24"/>
                <w:szCs w:val="24"/>
              </w:rPr>
              <w:t xml:space="preserve">сектор градостроительства, земельных и имущественных отношений, 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iCs/>
                <w:sz w:val="24"/>
                <w:szCs w:val="24"/>
              </w:rPr>
              <w:t xml:space="preserve">отдел потребительского рынка</w:t>
            </w:r>
            <w:r>
              <w:rPr>
                <w:iCs/>
                <w:sz w:val="24"/>
                <w:szCs w:val="24"/>
              </w:rPr>
              <w:t xml:space="preserve"> администрации Кировского района города Перми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3. 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Объявление предостережения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в случае</w:t>
            </w:r>
            <w:r>
              <w:rPr>
                <w:iCs/>
                <w:sz w:val="24"/>
                <w:szCs w:val="24"/>
              </w:rPr>
              <w:t xml:space="preserve"> поступления сведений, предусмотренных 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частью 1 статьи 49 Федерального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закона № 248-ФЗ</w:t>
            </w:r>
            <w:r>
              <w:rPr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4" w:type="dxa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iCs/>
                <w:sz w:val="24"/>
                <w:szCs w:val="24"/>
              </w:rPr>
              <w:t xml:space="preserve">отдел благоустройства,</w:t>
            </w:r>
            <w:r>
              <w:rPr>
                <w:iCs/>
                <w:sz w:val="24"/>
                <w:szCs w:val="24"/>
              </w:rPr>
            </w:r>
            <w:r/>
          </w:p>
          <w:p>
            <w:pPr>
              <w:contextualSpacing/>
            </w:pPr>
            <w:r>
              <w:rPr>
                <w:iCs/>
                <w:sz w:val="24"/>
                <w:szCs w:val="24"/>
              </w:rPr>
              <w:t xml:space="preserve">сектор градостроительства, земельных и имущественных отношений, 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iCs/>
                <w:sz w:val="24"/>
                <w:szCs w:val="24"/>
              </w:rPr>
              <w:t xml:space="preserve">отдел потребительского рынка</w:t>
            </w:r>
            <w:r>
              <w:rPr>
                <w:iCs/>
                <w:sz w:val="24"/>
                <w:szCs w:val="24"/>
              </w:rPr>
              <w:t xml:space="preserve"> администрации Кировского района города Перми</w:t>
            </w:r>
            <w:r/>
          </w:p>
        </w:tc>
      </w:tr>
    </w:tbl>
    <w:p>
      <w:pPr>
        <w:pStyle w:val="867"/>
        <w:contextualSpacing/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67"/>
        <w:contextualSpacing/>
        <w:jc w:val="center"/>
        <w:spacing w:before="0" w:after="360" w:line="283" w:lineRule="exact"/>
        <w:rPr>
          <w:b/>
          <w:bCs/>
          <w:sz w:val="28"/>
          <w:szCs w:val="28"/>
          <w:highlight w:val="none"/>
        </w:rPr>
        <w:outlineLvl w:val="1"/>
        <w:suppressLineNumbers w:val="0"/>
      </w:pPr>
      <w:r>
        <w:rPr>
          <w:b/>
          <w:bCs/>
          <w:sz w:val="28"/>
          <w:szCs w:val="28"/>
        </w:rPr>
        <w:t xml:space="preserve">Раздел 4. Показатели результативности и эффективности                          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рограммы</w:t>
      </w:r>
      <w:r>
        <w:rPr>
          <w:b/>
          <w:bCs/>
          <w:sz w:val="28"/>
          <w:szCs w:val="28"/>
        </w:rPr>
        <w:t xml:space="preserve"> профилактики</w:t>
      </w:r>
      <w:r>
        <w:rPr>
          <w:b/>
          <w:bCs/>
          <w:sz w:val="28"/>
          <w:szCs w:val="28"/>
          <w:highlight w:val="none"/>
        </w:rPr>
      </w:r>
      <w:r/>
    </w:p>
    <w:tbl>
      <w:tblPr>
        <w:tblW w:w="4969" w:type="pct"/>
        <w:tblInd w:w="62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6000"/>
        <w:gridCol w:w="3388"/>
      </w:tblGrid>
      <w:tr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  <w:spacing w:before="0" w:line="283" w:lineRule="exact"/>
              <w:widowControl w:val="off"/>
              <w:suppressLineNumbers w:val="0"/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  <w:spacing w:before="0" w:line="283" w:lineRule="exact"/>
              <w:widowControl w:val="off"/>
              <w:suppressLineNumbers w:val="0"/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  <w:spacing w:before="0" w:line="283" w:lineRule="exact"/>
              <w:widowControl w:val="off"/>
              <w:suppressLineNumbers w:val="0"/>
            </w:pPr>
            <w:r>
              <w:rPr>
                <w:sz w:val="24"/>
                <w:szCs w:val="24"/>
              </w:rPr>
              <w:t xml:space="preserve">Величина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67"/>
        <w:rPr>
          <w:rFonts w:eastAsia="Calibri"/>
          <w:b/>
          <w:bCs/>
          <w:sz w:val="28"/>
          <w:szCs w:val="28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4969" w:type="pct"/>
        <w:tblInd w:w="62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9"/>
        <w:gridCol w:w="6000"/>
        <w:gridCol w:w="3388"/>
      </w:tblGrid>
      <w:tr>
        <w:trPr>
          <w:trHeight w:val="209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  <w:widowControl w:val="off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  <w:widowControl w:val="off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  <w:widowControl w:val="off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widowControl w:val="off"/>
            </w:pPr>
            <w:r>
              <w:rPr>
                <w:sz w:val="24"/>
                <w:szCs w:val="24"/>
              </w:rPr>
              <w:t xml:space="preserve">Актуальность</w:t>
            </w:r>
            <w:r>
              <w:rPr>
                <w:sz w:val="24"/>
                <w:szCs w:val="24"/>
              </w:rPr>
              <w:t xml:space="preserve"> информации, размещенной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официальном сайте контрольного органа </w:t>
              <w:br/>
              <w:t xml:space="preserve">в информационно-телекоммуникационной сети «Интернет» в соответствии с частью 3 статьи 46 Федерального закона № 248-ФЗ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100 %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widowControl w:val="off"/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widowControl w:val="off"/>
            </w:pPr>
            <w:r>
              <w:rPr>
                <w:sz w:val="24"/>
                <w:szCs w:val="24"/>
              </w:rPr>
              <w:t xml:space="preserve">Доля контролируемых лиц, получивших консультирование, от общего количества обратившихся за консультированием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  <w:widowControl w:val="off"/>
            </w:pPr>
            <w:r>
              <w:rPr>
                <w:sz w:val="24"/>
                <w:szCs w:val="24"/>
              </w:rPr>
              <w:t xml:space="preserve">100 %, </w:t>
              <w:br/>
              <w:t xml:space="preserve">от числа обратившихся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" w:type="pct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7" w:type="pct"/>
            <w:vAlign w:val="top"/>
            <w:textDirection w:val="lrTb"/>
            <w:noWrap w:val="false"/>
          </w:tcPr>
          <w:p>
            <w:pPr>
              <w:pStyle w:val="867"/>
              <w:contextualSpacing/>
            </w:pPr>
            <w:r>
              <w:rPr>
                <w:sz w:val="24"/>
                <w:szCs w:val="24"/>
              </w:rPr>
              <w:t xml:space="preserve">Объявленные предостережения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pct"/>
            <w:vAlign w:val="top"/>
            <w:textDirection w:val="lrTb"/>
            <w:noWrap w:val="false"/>
          </w:tcPr>
          <w:p>
            <w:pPr>
              <w:pStyle w:val="867"/>
              <w:contextualSpacing/>
              <w:jc w:val="center"/>
            </w:pPr>
            <w:r>
              <w:rPr>
                <w:sz w:val="24"/>
                <w:szCs w:val="24"/>
              </w:rPr>
              <w:t xml:space="preserve">100%, при подтверждении </w:t>
            </w:r>
            <w:r>
              <w:rPr>
                <w:iCs/>
                <w:sz w:val="24"/>
                <w:szCs w:val="24"/>
              </w:rPr>
              <w:t xml:space="preserve">сведений о готовящихся </w:t>
            </w:r>
            <w:r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 xml:space="preserve">или возможных нарушениях обязательных требований</w:t>
            </w:r>
            <w:r>
              <w:rPr>
                <w:rStyle w:val="887"/>
                <w:iCs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contextualSpacing/>
        <w:ind w:firstLine="709"/>
        <w:jc w:val="both"/>
        <w:spacing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ind w:right="360"/>
      <w:rPr>
        <w:sz w:val="16"/>
        <w:u w:val="single"/>
      </w:rPr>
    </w:pPr>
    <w:r>
      <w:rPr>
        <w:sz w:val="16"/>
        <w:u w:val="singl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88"/>
      </w:pPr>
      <w:r>
        <w:rPr>
          <w:rStyle w:val="887"/>
        </w:rPr>
        <w:footnoteRef/>
      </w:r>
      <w:r>
        <w:t xml:space="preserve"> При наличии технической возможности объявления предостережений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rStyle w:val="877"/>
      </w:rPr>
      <w:framePr w:wrap="around" w:vAnchor="text" w:hAnchor="margin" w:xAlign="center" w:y="1"/>
    </w:pPr>
    <w:r>
      <w:rPr>
        <w:rStyle w:val="877"/>
      </w:rPr>
    </w:r>
    <w:r/>
  </w:p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/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867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7"/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7"/>
    <w:next w:val="86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7"/>
    <w:next w:val="867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7"/>
    <w:next w:val="867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7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7"/>
    <w:next w:val="86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next w:val="867"/>
    <w:link w:val="867"/>
    <w:qFormat/>
    <w:rPr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ind w:right="-1" w:firstLine="709"/>
      <w:jc w:val="both"/>
      <w:keepNext/>
      <w:outlineLvl w:val="0"/>
    </w:pPr>
    <w:rPr>
      <w:sz w:val="24"/>
    </w:rPr>
  </w:style>
  <w:style w:type="paragraph" w:styleId="869">
    <w:name w:val="Заголовок 2"/>
    <w:basedOn w:val="867"/>
    <w:next w:val="867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70">
    <w:name w:val="Основной шрифт абзаца"/>
    <w:next w:val="870"/>
    <w:link w:val="867"/>
    <w:semiHidden/>
  </w:style>
  <w:style w:type="table" w:styleId="871">
    <w:name w:val="Обычная таблица"/>
    <w:next w:val="871"/>
    <w:link w:val="867"/>
    <w:semiHidden/>
    <w:tblPr/>
  </w:style>
  <w:style w:type="numbering" w:styleId="872">
    <w:name w:val="Нет списка"/>
    <w:next w:val="872"/>
    <w:link w:val="867"/>
    <w:semiHidden/>
  </w:style>
  <w:style w:type="paragraph" w:styleId="873">
    <w:name w:val="Название объекта"/>
    <w:basedOn w:val="867"/>
    <w:next w:val="867"/>
    <w:link w:val="86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4">
    <w:name w:val="Основной текст"/>
    <w:basedOn w:val="867"/>
    <w:next w:val="874"/>
    <w:link w:val="881"/>
    <w:pPr>
      <w:ind w:right="3117"/>
    </w:pPr>
    <w:rPr>
      <w:rFonts w:ascii="Courier New" w:hAnsi="Courier New"/>
      <w:sz w:val="26"/>
    </w:rPr>
  </w:style>
  <w:style w:type="paragraph" w:styleId="875">
    <w:name w:val="Основной текст с отступом"/>
    <w:basedOn w:val="867"/>
    <w:next w:val="875"/>
    <w:link w:val="867"/>
    <w:pPr>
      <w:ind w:right="-1"/>
      <w:jc w:val="both"/>
    </w:pPr>
    <w:rPr>
      <w:sz w:val="26"/>
    </w:rPr>
  </w:style>
  <w:style w:type="paragraph" w:styleId="876">
    <w:name w:val="Нижний колонтитул"/>
    <w:basedOn w:val="867"/>
    <w:next w:val="876"/>
    <w:link w:val="867"/>
    <w:pPr>
      <w:tabs>
        <w:tab w:val="center" w:pos="4153" w:leader="none"/>
        <w:tab w:val="right" w:pos="8306" w:leader="none"/>
      </w:tabs>
    </w:pPr>
  </w:style>
  <w:style w:type="character" w:styleId="877">
    <w:name w:val="Номер страницы"/>
    <w:basedOn w:val="870"/>
    <w:next w:val="877"/>
    <w:link w:val="867"/>
  </w:style>
  <w:style w:type="paragraph" w:styleId="878">
    <w:name w:val="Верхний колонтитул"/>
    <w:basedOn w:val="867"/>
    <w:next w:val="878"/>
    <w:link w:val="867"/>
    <w:pPr>
      <w:tabs>
        <w:tab w:val="center" w:pos="4153" w:leader="none"/>
        <w:tab w:val="right" w:pos="8306" w:leader="none"/>
      </w:tabs>
    </w:pPr>
  </w:style>
  <w:style w:type="paragraph" w:styleId="879">
    <w:name w:val="Текст выноски"/>
    <w:basedOn w:val="867"/>
    <w:next w:val="879"/>
    <w:link w:val="880"/>
    <w:rPr>
      <w:rFonts w:ascii="Segoe UI" w:hAnsi="Segoe UI" w:cs="Segoe UI"/>
      <w:sz w:val="18"/>
      <w:szCs w:val="18"/>
    </w:rPr>
  </w:style>
  <w:style w:type="character" w:styleId="880">
    <w:name w:val="Текст выноски Знак"/>
    <w:next w:val="880"/>
    <w:link w:val="879"/>
    <w:rPr>
      <w:rFonts w:ascii="Segoe UI" w:hAnsi="Segoe UI" w:cs="Segoe UI"/>
      <w:sz w:val="18"/>
      <w:szCs w:val="18"/>
    </w:rPr>
  </w:style>
  <w:style w:type="character" w:styleId="881">
    <w:name w:val="Основной текст Знак"/>
    <w:next w:val="881"/>
    <w:link w:val="874"/>
    <w:rPr>
      <w:rFonts w:ascii="Courier New" w:hAnsi="Courier New"/>
      <w:sz w:val="26"/>
    </w:rPr>
  </w:style>
  <w:style w:type="character" w:styleId="882">
    <w:name w:val="Заголовок 2 Знак"/>
    <w:next w:val="882"/>
    <w:link w:val="869"/>
    <w:rPr>
      <w:sz w:val="24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  <w:style w:type="paragraph" w:styleId="88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87" w:customStyle="1">
    <w:name w:val="Знак сноски"/>
    <w:rPr>
      <w:vertAlign w:val="superscript"/>
    </w:rPr>
  </w:style>
  <w:style w:type="paragraph" w:styleId="888" w:customStyle="1">
    <w:name w:val="Текст сноски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28</cp:revision>
  <dcterms:created xsi:type="dcterms:W3CDTF">2018-05-15T10:44:00Z</dcterms:created>
  <dcterms:modified xsi:type="dcterms:W3CDTF">2024-12-12T08:57:17Z</dcterms:modified>
  <cp:version>917504</cp:version>
</cp:coreProperties>
</file>