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7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miter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17.12.2024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1239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7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17.12.2024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1239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812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Методики расчета размера стоимости работ по содержанию санитарно-бытовых помещений, размера стоимости работ по содержанию санитарно-бытовых помещений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Уставом города Перми, решениями Пермской городской Думы </w:t>
      </w:r>
      <w:r>
        <w:rPr>
          <w:sz w:val="28"/>
          <w:szCs w:val="28"/>
        </w:rPr>
        <w:br/>
        <w:t xml:space="preserve">от 28 августа 2007 г. № 185 «Об утверждении Положения о бюджете и бюджетном процессе в городе Перми», от 15 декабря 2020 г. № 277 «Об утверждении Правил благоустройства территории города Перми», от </w:t>
      </w:r>
      <w:r>
        <w:rPr>
          <w:sz w:val="28"/>
          <w:szCs w:val="28"/>
        </w:rPr>
        <w:t xml:space="preserve">26 июня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 г. № 1</w:t>
      </w:r>
      <w:r>
        <w:rPr>
          <w:sz w:val="28"/>
          <w:szCs w:val="28"/>
        </w:rPr>
        <w:t xml:space="preserve">38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создании департамента жилищно-коммунального хозяйства администрации города Перми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Методику расчета размера стоимости работ по содержанию санитарно-бытовых помещений;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размер стоимости работ по содержанию санитарно-бытовых помещений.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муниципального образования город Пермь </w:t>
      </w:r>
      <w:hyperlink r:id="rId12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</w:rPr>
          <w:t xml:space="preserve">www.gorodperm.ru</w:t>
        </w:r>
      </w:hyperlink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</w:rPr>
          <w:t xml:space="preserve">www.gorodperm.ru</w:t>
        </w:r>
      </w:hyperlink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</w:t>
      </w:r>
      <w:r>
        <w:rPr>
          <w:sz w:val="28"/>
          <w:szCs w:val="28"/>
        </w:rPr>
        <w:t xml:space="preserve">ального образования город Пермь»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Субботина И.А.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6"/>
        <w:rPr>
          <w:sz w:val="28"/>
          <w:szCs w:val="28"/>
        </w:rPr>
        <w:sectPr>
          <w:headerReference w:type="default" r:id="rId9"/>
          <w:footnotePr/>
          <w:endnotePr/>
          <w:type w:val="continuous"/>
          <w:pgSz w:w="11906" w:h="16838" w:orient="portrait"/>
          <w:pgMar w:top="1134" w:right="567" w:bottom="426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6"/>
        <w:rPr>
          <w:sz w:val="28"/>
          <w:szCs w:val="28"/>
        </w:rPr>
      </w:pP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17.12.2024 № 1239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расчета размера стоимости работ по содержанию </w:t>
      </w:r>
      <w:r>
        <w:rPr>
          <w:b/>
          <w:sz w:val="28"/>
          <w:szCs w:val="28"/>
        </w:rPr>
        <w:br/>
        <w:t xml:space="preserve">санитарно-бытовых помещений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Общие положения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Методика расчета размера стоимости работ по содержанию санитарно-бытовых помещений (далее – Методика) разработана в соответствии </w:t>
      </w:r>
      <w:r>
        <w:rPr>
          <w:sz w:val="28"/>
          <w:szCs w:val="28"/>
        </w:rPr>
        <w:br/>
        <w:t xml:space="preserve">с Федеральным законом от 06 октября 2003 г. № 131-ФЗ «Об общих </w:t>
      </w:r>
      <w:r>
        <w:rPr>
          <w:sz w:val="28"/>
          <w:szCs w:val="28"/>
        </w:rPr>
        <w:t xml:space="preserve">принципах организации местного самоуправления в Российской Федерации», Уставом города Перми, решениями Пермской городской Думы от 28 августа 2007 г. № 185                            «Об утверждении Положения о бюджете и бюджетном процессе в городе Перми», </w:t>
      </w:r>
      <w:r>
        <w:rPr>
          <w:sz w:val="28"/>
          <w:szCs w:val="28"/>
        </w:rPr>
        <w:t xml:space="preserve">от 26 июня 2012 г. № 138 «О создании департамента жилищно-коммунального хозяйства администрации города Перми».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Методика устанавливает механизм определения объемов финансирования из бюджета города Перми на работы по содержанию санитарно-бытовых помещений.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 санитарно-бытовыми помещениями</w:t>
      </w:r>
      <w:r>
        <w:rPr>
          <w:sz w:val="28"/>
          <w:szCs w:val="28"/>
        </w:rPr>
        <w:t xml:space="preserve"> в целях настоящей Методики </w:t>
      </w:r>
      <w:r>
        <w:rPr>
          <w:sz w:val="28"/>
          <w:szCs w:val="28"/>
        </w:rPr>
        <w:t xml:space="preserve">понимаются туалеты</w:t>
      </w:r>
      <w:r>
        <w:rPr>
          <w:sz w:val="28"/>
          <w:szCs w:val="28"/>
        </w:rPr>
        <w:t xml:space="preserve"> (далее – туалеты)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Методика применяется для расчета объема финанс</w:t>
      </w:r>
      <w:r>
        <w:rPr>
          <w:sz w:val="28"/>
          <w:szCs w:val="28"/>
        </w:rPr>
        <w:t xml:space="preserve">ового</w:t>
      </w:r>
      <w:r>
        <w:rPr>
          <w:sz w:val="28"/>
          <w:szCs w:val="28"/>
        </w:rPr>
        <w:t xml:space="preserve"> обеспечения затрат муниципального предприятия «</w:t>
      </w:r>
      <w:r>
        <w:rPr>
          <w:sz w:val="28"/>
          <w:szCs w:val="28"/>
        </w:rPr>
        <w:t xml:space="preserve">Пермводоканал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предприятие)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на содержание туалетов.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Нормативная правовая база, используемая в Методике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кодекс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30 марта 1999 г. № 52-ФЗ «О санитарно-эпидемиологическом благополучии населения».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06 октября 2003 г.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Пермской городской Думы от 15 декабря 2020 г. № 277                               </w:t>
      </w:r>
      <w:r>
        <w:rPr>
          <w:sz w:val="28"/>
          <w:szCs w:val="28"/>
        </w:rPr>
        <w:t xml:space="preserve">   «</w:t>
      </w:r>
      <w:r>
        <w:rPr>
          <w:sz w:val="28"/>
          <w:szCs w:val="28"/>
        </w:rPr>
        <w:t xml:space="preserve">Об утверждении Правил благоустройства территории города Перми».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14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III. Структура стоимости работ по содержанию туалетов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Размер стоимости работ по содержанию туалетов включает затраты на: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амортизационные отчисления по основным фондам;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заработную плату с учетом отчислений</w:t>
      </w:r>
      <w:r>
        <w:rPr>
          <w:sz w:val="28"/>
          <w:szCs w:val="28"/>
        </w:rPr>
        <w:t xml:space="preserve"> основного персонала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коммунальные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охране труда;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расходные материалы</w:t>
      </w:r>
      <w:r>
        <w:rPr>
          <w:sz w:val="28"/>
          <w:szCs w:val="28"/>
        </w:rPr>
        <w:t xml:space="preserve">, перечень которых указан в приложении к Методике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транспортных средств;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ремонт туалетов;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имущество и транспортный налог;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общехозяйственные расходы;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Ремонтно-восстановительные работы.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14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IV</w:t>
      </w:r>
      <w:r>
        <w:rPr>
          <w:b/>
          <w:bCs/>
          <w:sz w:val="28"/>
          <w:szCs w:val="28"/>
        </w:rPr>
        <w:t xml:space="preserve">. Методика расчета размера стоимости работ </w:t>
      </w:r>
      <w:r>
        <w:rPr>
          <w:b/>
          <w:bCs/>
          <w:sz w:val="28"/>
          <w:szCs w:val="28"/>
        </w:rPr>
        <w:br/>
        <w:t xml:space="preserve">по содержанию туалетов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Стоимость работ по содержанию туалетов (</w:t>
      </w:r>
      <w:r>
        <w:rPr>
          <w:rFonts w:eastAsiaTheme="minorHAnsi"/>
          <w:sz w:val="28"/>
          <w:szCs w:val="28"/>
          <w:lang w:eastAsia="en-US"/>
        </w:rPr>
        <w:t xml:space="preserve">С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общ</w:t>
      </w:r>
      <w:r>
        <w:rPr>
          <w:sz w:val="28"/>
          <w:szCs w:val="28"/>
        </w:rPr>
        <w:t xml:space="preserve">) определяется по формуле: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Собщ</w:t>
      </w:r>
      <w:r>
        <w:rPr>
          <w:rFonts w:eastAsiaTheme="minorHAnsi"/>
          <w:sz w:val="28"/>
          <w:szCs w:val="28"/>
          <w:lang w:eastAsia="en-US"/>
        </w:rPr>
        <w:t xml:space="preserve">=</w:t>
      </w:r>
      <w:r>
        <w:rPr>
          <w:rFonts w:eastAsiaTheme="minorHAnsi"/>
          <w:bCs/>
          <w:sz w:val="28"/>
          <w:szCs w:val="28"/>
          <w:lang w:eastAsia="en-US"/>
        </w:rPr>
        <w:t xml:space="preserve">Σ(</w:t>
      </w:r>
      <w:r>
        <w:rPr>
          <w:rFonts w:eastAsiaTheme="minorHAnsi"/>
          <w:sz w:val="28"/>
          <w:szCs w:val="28"/>
          <w:lang w:eastAsia="en-US"/>
        </w:rPr>
        <w:t xml:space="preserve">С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 х К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 )+Р</w:t>
      </w:r>
      <w:r>
        <w:rPr>
          <w:rFonts w:eastAsiaTheme="minorHAnsi"/>
          <w:sz w:val="28"/>
          <w:szCs w:val="28"/>
          <w:lang w:eastAsia="en-US"/>
        </w:rPr>
        <w:t xml:space="preserve">В, где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 – размер стоимости работ по содержанию туалета типа </w:t>
      </w:r>
      <w:r>
        <w:rPr>
          <w:rFonts w:eastAsiaTheme="minorHAnsi"/>
          <w:sz w:val="28"/>
          <w:szCs w:val="28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, руб./ед.;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количество туалетов типа </w:t>
      </w:r>
      <w:r>
        <w:rPr>
          <w:rFonts w:eastAsiaTheme="minorHAnsi"/>
          <w:sz w:val="28"/>
          <w:szCs w:val="28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, ед.;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</w:t>
      </w:r>
      <w:r>
        <w:rPr>
          <w:rFonts w:eastAsiaTheme="minorHAnsi"/>
          <w:sz w:val="28"/>
          <w:szCs w:val="28"/>
          <w:lang w:eastAsia="en-US"/>
        </w:rPr>
        <w:t xml:space="preserve">В</w:t>
      </w:r>
      <w:r>
        <w:rPr>
          <w:rFonts w:eastAsiaTheme="minorHAnsi"/>
          <w:sz w:val="28"/>
          <w:szCs w:val="28"/>
          <w:lang w:eastAsia="en-US"/>
        </w:rPr>
        <w:t xml:space="preserve"> – ремонтно-восстановительные работы, руб.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Размер затрат на проведение ремонтно-восстановительных работ (РВ)</w:t>
      </w:r>
      <w:r>
        <w:rPr>
          <w:rFonts w:eastAsiaTheme="minorHAnsi"/>
          <w:sz w:val="28"/>
          <w:szCs w:val="28"/>
          <w:lang w:eastAsia="en-US"/>
        </w:rPr>
        <w:t xml:space="preserve"> определяется в соответствии с необходимыми объемом и видами работ и стоимости работ, определенных на основании локальных сметных расчетов.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highlight w:val="magenta"/>
        </w:rPr>
      </w:pPr>
      <w:r>
        <w:rPr>
          <w:rFonts w:eastAsiaTheme="minorHAnsi"/>
          <w:sz w:val="28"/>
          <w:szCs w:val="28"/>
          <w:highlight w:val="magenta"/>
        </w:rPr>
      </w:r>
      <w:r>
        <w:rPr>
          <w:rFonts w:eastAsiaTheme="minorHAnsi"/>
          <w:sz w:val="28"/>
          <w:szCs w:val="28"/>
          <w:highlight w:val="magenta"/>
        </w:rPr>
      </w:r>
      <w:r>
        <w:rPr>
          <w:rFonts w:eastAsiaTheme="minorHAnsi"/>
          <w:sz w:val="28"/>
          <w:szCs w:val="28"/>
          <w:highlight w:val="magenta"/>
        </w:rPr>
      </w:r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4.2. Затраты на содержание </w:t>
      </w:r>
      <w:r>
        <w:rPr>
          <w:sz w:val="28"/>
          <w:szCs w:val="28"/>
        </w:rPr>
        <w:t xml:space="preserve">туалета</w:t>
      </w:r>
      <w:r>
        <w:rPr>
          <w:rFonts w:eastAsiaTheme="minorHAnsi"/>
          <w:sz w:val="28"/>
          <w:szCs w:val="28"/>
          <w:lang w:eastAsia="en-US"/>
        </w:rPr>
        <w:t xml:space="preserve"> типа i (С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) определяется по формуле: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jc w:val="center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</w:r>
      <w:r>
        <w:rPr>
          <w:rFonts w:eastAsiaTheme="minorHAnsi"/>
          <w:bCs/>
          <w:sz w:val="28"/>
          <w:szCs w:val="28"/>
        </w:rPr>
      </w:r>
      <w:r>
        <w:rPr>
          <w:rFonts w:eastAsiaTheme="minorHAnsi"/>
          <w:bCs/>
          <w:sz w:val="28"/>
          <w:szCs w:val="28"/>
        </w:rPr>
      </w:r>
    </w:p>
    <w:p>
      <w:pPr>
        <w:jc w:val="center"/>
        <w:rPr>
          <w:rFonts w:eastAsiaTheme="minorHAnsi"/>
          <w:bCs/>
          <w:sz w:val="28"/>
          <w:szCs w:val="28"/>
          <w:vertAlign w:val="baseline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</w:t>
      </w:r>
      <w:r>
        <w:rPr>
          <w:rFonts w:eastAsiaTheme="minorHAnsi"/>
          <w:bCs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bCs/>
          <w:sz w:val="28"/>
          <w:szCs w:val="28"/>
          <w:lang w:eastAsia="en-US"/>
        </w:rPr>
        <w:t xml:space="preserve"> = (А</w:t>
      </w:r>
      <w:r>
        <w:rPr>
          <w:rFonts w:eastAsiaTheme="minorHAnsi"/>
          <w:bCs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bCs/>
          <w:sz w:val="28"/>
          <w:szCs w:val="28"/>
          <w:lang w:eastAsia="en-US"/>
        </w:rPr>
        <w:t xml:space="preserve"> +ЗП</w:t>
      </w:r>
      <w:r>
        <w:rPr>
          <w:rFonts w:eastAsiaTheme="minorHAnsi"/>
          <w:bCs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bCs/>
          <w:sz w:val="28"/>
          <w:szCs w:val="28"/>
          <w:vertAlign w:val="subscript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+ОТ</w:t>
      </w:r>
      <w:r>
        <w:rPr>
          <w:rFonts w:eastAsiaTheme="minorHAnsi"/>
          <w:bCs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bCs/>
          <w:sz w:val="28"/>
          <w:szCs w:val="28"/>
          <w:lang w:eastAsia="en-US"/>
        </w:rPr>
        <w:t xml:space="preserve"> +ТО</w:t>
      </w:r>
      <w:r>
        <w:rPr>
          <w:rFonts w:eastAsiaTheme="minorHAnsi"/>
          <w:bCs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bCs/>
          <w:sz w:val="28"/>
          <w:szCs w:val="28"/>
          <w:lang w:eastAsia="en-US"/>
        </w:rPr>
        <w:t xml:space="preserve"> +Т</w:t>
      </w:r>
      <w:r>
        <w:rPr>
          <w:rFonts w:eastAsiaTheme="minorHAnsi"/>
          <w:bCs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bCs/>
          <w:sz w:val="28"/>
          <w:szCs w:val="28"/>
          <w:lang w:eastAsia="en-US"/>
        </w:rPr>
        <w:t xml:space="preserve"> +ТР</w:t>
      </w:r>
      <w:r>
        <w:rPr>
          <w:rFonts w:eastAsiaTheme="minorHAnsi"/>
          <w:bCs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bCs/>
          <w:sz w:val="28"/>
          <w:szCs w:val="28"/>
          <w:lang w:eastAsia="en-US"/>
        </w:rPr>
        <w:t xml:space="preserve"> +Н</w:t>
      </w:r>
      <w:r>
        <w:rPr>
          <w:rFonts w:eastAsiaTheme="minorHAnsi"/>
          <w:bCs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bCs/>
          <w:sz w:val="28"/>
          <w:szCs w:val="28"/>
          <w:lang w:eastAsia="en-US"/>
        </w:rPr>
        <w:t xml:space="preserve"> + ОР</w:t>
      </w:r>
      <w:r>
        <w:rPr>
          <w:rFonts w:eastAsiaTheme="minorHAnsi"/>
          <w:bCs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bCs/>
          <w:sz w:val="28"/>
          <w:szCs w:val="28"/>
          <w:lang w:eastAsia="en-US"/>
        </w:rPr>
        <w:t xml:space="preserve">)/</w:t>
      </w:r>
      <w:r>
        <w:rPr>
          <w:rFonts w:eastAsiaTheme="minorHAnsi"/>
          <w:bCs/>
          <w:sz w:val="28"/>
          <w:szCs w:val="28"/>
          <w:lang w:eastAsia="en-US"/>
        </w:rPr>
        <w:t xml:space="preserve">К</w:t>
      </w:r>
      <w:r>
        <w:rPr>
          <w:rFonts w:eastAsiaTheme="minorHAnsi"/>
          <w:bCs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bCs/>
          <w:sz w:val="28"/>
          <w:szCs w:val="28"/>
          <w:vertAlign w:val="baseline"/>
          <w:lang w:val="en-US" w:eastAsia="en-US"/>
        </w:rPr>
        <w:t xml:space="preserve">,</w:t>
      </w:r>
      <w:r>
        <w:rPr>
          <w:rFonts w:eastAsiaTheme="minorHAnsi"/>
          <w:bCs/>
          <w:sz w:val="28"/>
          <w:szCs w:val="28"/>
          <w:vertAlign w:val="subscript"/>
          <w:lang w:val="en-US" w:eastAsia="en-US"/>
        </w:rPr>
        <w:t xml:space="preserve"> </w:t>
      </w:r>
      <w:r>
        <w:rPr>
          <w:rFonts w:eastAsiaTheme="minorHAnsi"/>
          <w:bCs/>
          <w:sz w:val="28"/>
          <w:szCs w:val="28"/>
          <w:vertAlign w:val="baseline"/>
          <w:lang w:val="en-US" w:eastAsia="en-US"/>
        </w:rPr>
        <w:t xml:space="preserve">где</w:t>
      </w:r>
      <w:r>
        <w:rPr>
          <w:rFonts w:eastAsiaTheme="minorHAnsi"/>
          <w:bCs/>
          <w:sz w:val="28"/>
          <w:szCs w:val="28"/>
          <w:vertAlign w:val="baseline"/>
        </w:rPr>
      </w:r>
      <w:r>
        <w:rPr>
          <w:rFonts w:eastAsiaTheme="minorHAnsi"/>
          <w:bCs/>
          <w:sz w:val="28"/>
          <w:szCs w:val="28"/>
          <w:vertAlign w:val="baseline"/>
        </w:rPr>
      </w:r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А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 – амортизационные отчисления по основным средствам, используемым при выполнении работ, размер которых определяется в соответствии                                            с законодательством в сфере бухгалтерского учета, руб.;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ЗП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 – заработная плата с учетом отчислений</w:t>
      </w:r>
      <w:r>
        <w:rPr>
          <w:rFonts w:eastAsiaTheme="minorHAnsi"/>
          <w:sz w:val="28"/>
          <w:szCs w:val="28"/>
          <w:lang w:eastAsia="en-US"/>
        </w:rPr>
        <w:t xml:space="preserve"> основного персонала</w:t>
      </w:r>
      <w:r>
        <w:rPr>
          <w:rFonts w:eastAsiaTheme="minorHAnsi"/>
          <w:sz w:val="28"/>
          <w:szCs w:val="28"/>
          <w:lang w:eastAsia="en-US"/>
        </w:rPr>
        <w:t xml:space="preserve">, руб.;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ОТ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 – затраты на мероприятия по охране труда, руб.;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ТО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 – затраты на содержание </w:t>
      </w:r>
      <w:r>
        <w:rPr>
          <w:sz w:val="28"/>
          <w:szCs w:val="28"/>
        </w:rPr>
        <w:t xml:space="preserve">туалетов</w:t>
      </w:r>
      <w:r>
        <w:rPr>
          <w:rFonts w:eastAsiaTheme="minorHAnsi"/>
          <w:sz w:val="28"/>
          <w:szCs w:val="28"/>
          <w:lang w:eastAsia="en-US"/>
        </w:rPr>
        <w:t xml:space="preserve">, руб.;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 – затраты на содержание транспортных средств, руб.;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ТР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 – затраты на текущий ремонт </w:t>
      </w:r>
      <w:r>
        <w:rPr>
          <w:sz w:val="28"/>
          <w:szCs w:val="28"/>
        </w:rPr>
        <w:t xml:space="preserve">туалета</w:t>
      </w:r>
      <w:r>
        <w:rPr>
          <w:rFonts w:eastAsiaTheme="minorHAnsi"/>
          <w:sz w:val="28"/>
          <w:szCs w:val="28"/>
          <w:lang w:eastAsia="en-US"/>
        </w:rPr>
        <w:t xml:space="preserve"> типа </w:t>
      </w:r>
      <w:r>
        <w:rPr>
          <w:rFonts w:eastAsiaTheme="minorHAnsi"/>
          <w:sz w:val="28"/>
          <w:szCs w:val="28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 (покраска, устранение                           и ремонт мелких дефектов и повреждений и другое), размер которых определяется как 7,5 % от </w:t>
      </w:r>
      <w:r>
        <w:rPr>
          <w:sz w:val="28"/>
          <w:szCs w:val="28"/>
        </w:rPr>
        <w:t xml:space="preserve">следующих статей затрат: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с </w:t>
      </w:r>
      <w:r>
        <w:rPr>
          <w:sz w:val="28"/>
          <w:szCs w:val="28"/>
        </w:rPr>
        <w:t xml:space="preserve">учетом </w:t>
      </w:r>
      <w:r>
        <w:rPr>
          <w:sz w:val="28"/>
          <w:szCs w:val="28"/>
        </w:rPr>
        <w:t xml:space="preserve">отчислени</w:t>
      </w:r>
      <w:r>
        <w:rPr>
          <w:sz w:val="28"/>
          <w:szCs w:val="28"/>
        </w:rPr>
        <w:t xml:space="preserve">й</w:t>
      </w:r>
      <w:bookmarkStart w:id="0" w:name="_GoBack"/>
      <w:r/>
      <w:bookmarkEnd w:id="0"/>
      <w:r>
        <w:rPr>
          <w:sz w:val="28"/>
          <w:szCs w:val="28"/>
        </w:rPr>
        <w:t xml:space="preserve"> основного персонала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коммунальные услуги: водоснабжение, водоотведение, электроснабжение, вывоз твердых коммунальных отходов;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затраты на обслуживание канализационной насосной станции;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расходные материалы;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расходы по охране труда (спецодежда, медосмотр, обучение, специальная оценка условий труда)</w:t>
      </w:r>
      <w:r>
        <w:rPr>
          <w:rFonts w:eastAsiaTheme="minorHAnsi"/>
          <w:sz w:val="28"/>
          <w:szCs w:val="28"/>
          <w:lang w:eastAsia="en-US"/>
        </w:rPr>
        <w:t xml:space="preserve">, руб.;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 – налог на имущество и транспортный налог, размер которых определяется в соответствии с Налоговым кодексом Российской Федерации, руб.;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ОР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 – общехозяйственные расходы, руб.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 Заработная плата с учетом отчислений </w:t>
      </w:r>
      <w:r>
        <w:rPr>
          <w:rFonts w:eastAsiaTheme="minorHAnsi"/>
          <w:sz w:val="28"/>
          <w:szCs w:val="28"/>
          <w:lang w:eastAsia="en-US"/>
        </w:rPr>
        <w:t xml:space="preserve">основного персонала </w:t>
      </w:r>
      <w:r>
        <w:rPr>
          <w:rFonts w:eastAsiaTheme="minorHAnsi"/>
          <w:sz w:val="28"/>
          <w:szCs w:val="28"/>
          <w:lang w:eastAsia="en-US"/>
        </w:rPr>
        <w:t xml:space="preserve">(ЗП) определяется по формуле: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ЗП = ЗП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 х Р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 + ЗП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+1</w:t>
      </w:r>
      <w:r>
        <w:rPr>
          <w:rFonts w:eastAsiaTheme="minorHAnsi"/>
          <w:sz w:val="28"/>
          <w:szCs w:val="28"/>
          <w:lang w:eastAsia="en-US"/>
        </w:rPr>
        <w:t xml:space="preserve"> х Р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+1</w:t>
      </w:r>
      <w:r>
        <w:rPr>
          <w:rFonts w:eastAsiaTheme="minorHAnsi"/>
          <w:sz w:val="28"/>
          <w:szCs w:val="28"/>
          <w:lang w:eastAsia="en-US"/>
        </w:rPr>
        <w:t xml:space="preserve"> + … + ЗП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n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 xml:space="preserve">x</w:t>
      </w:r>
      <w:r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n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 где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ЗП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 – заработная плата с учетом отчислений по работнику i</w:t>
      </w:r>
      <w:r>
        <w:rPr>
          <w:rFonts w:eastAsiaTheme="minorHAnsi"/>
          <w:sz w:val="28"/>
          <w:szCs w:val="28"/>
          <w:lang w:eastAsia="en-US"/>
        </w:rPr>
        <w:t xml:space="preserve"> основного персонала</w:t>
      </w:r>
      <w:r>
        <w:rPr>
          <w:rFonts w:eastAsiaTheme="minorHAnsi"/>
          <w:sz w:val="28"/>
          <w:szCs w:val="28"/>
          <w:lang w:eastAsia="en-US"/>
        </w:rPr>
        <w:t xml:space="preserve">, руб.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left="709" w:right="5"/>
        <w:jc w:val="both"/>
        <w:shd w:val="clear" w:color="auto" w:fill="ffffff" w:themeFill="background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Заработная плата включает в себя: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953"/>
        <w:ind w:left="709" w:right="5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должностной оклад в соответствии со штатным расписанием;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pStyle w:val="953"/>
        <w:ind w:left="0" w:right="5"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доплаты (за совмещение профессий и должностей; за выполнение обязанностей временно отсутствующего работника; за расширение зон обслуживания; за увеличение объема работ; доплата работникам, занятым </w:t>
      </w:r>
      <w:r>
        <w:rPr>
          <w:rFonts w:ascii="Times New Roman" w:hAnsi="Times New Roman" w:eastAsiaTheme="minorHAnsi"/>
          <w:sz w:val="28"/>
          <w:szCs w:val="28"/>
        </w:rPr>
        <w:br/>
        <w:t xml:space="preserve">на работах с вредными и (или) опасными условиями труда; доплата </w:t>
      </w:r>
      <w:r>
        <w:rPr>
          <w:rFonts w:ascii="Times New Roman" w:hAnsi="Times New Roman" w:eastAsiaTheme="minorHAnsi"/>
          <w:sz w:val="28"/>
          <w:szCs w:val="28"/>
        </w:rPr>
        <w:br/>
        <w:t xml:space="preserve">за сверхурочную работу, работу в выходные и нерабочие праздничные дни, работу в ночное время). Размер доплат определяется в соответствии с действующим законодательством и локальными нормативно-правовыми актами предприятия;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pStyle w:val="953"/>
        <w:ind w:left="709" w:right="5"/>
        <w:jc w:val="both"/>
        <w:spacing w:after="0" w:line="240" w:lineRule="auto"/>
        <w:shd w:val="clear" w:color="auto" w:fill="ffffff" w:themeFill="background1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премии в соответствии с коллективным договором.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709"/>
        <w:jc w:val="both"/>
        <w:shd w:val="clear" w:color="auto" w:fill="ffffff" w:themeFill="background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 xml:space="preserve">Размер отчислений от заработной платы определяется в соответствии </w:t>
      </w:r>
      <w:r>
        <w:rPr>
          <w:rFonts w:eastAsiaTheme="minorHAnsi"/>
          <w:sz w:val="28"/>
          <w:szCs w:val="28"/>
        </w:rPr>
        <w:br/>
        <w:t xml:space="preserve">с Налоговым кодексом Российской Федерации, а также Федеральным законом </w:t>
      </w:r>
      <w:r>
        <w:rPr>
          <w:rFonts w:eastAsiaTheme="minorHAnsi"/>
          <w:sz w:val="28"/>
          <w:szCs w:val="28"/>
        </w:rPr>
        <w:br/>
        <w:t xml:space="preserve">от 24 июля 1998 г. № 125-ФЗ «Об обязательном социальном страховании </w:t>
      </w:r>
      <w:r>
        <w:rPr>
          <w:rFonts w:eastAsiaTheme="minorHAnsi"/>
          <w:sz w:val="28"/>
          <w:szCs w:val="28"/>
        </w:rPr>
        <w:br/>
        <w:t xml:space="preserve">от несчастных случаев на производстве и профессиональных заболеваний».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 – количество работников i, ед.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4.4. Затраты на мероприятия по охране труда (ОТ) определяются по формуле: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= СУОТ + МО + СО + О, где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СУОТ – затраты на проведение специальной оценки условий труда, руб.;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МО – затраты на проведение медосмотров, руб.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 – затраты на приобретение спецодежды и средств индивидуальной защиты, руб.;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– затраты на специальное обучение работников, руб.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4.5. Затраты на содержание транспортных средств (Т) определяются </w:t>
      </w:r>
      <w:r>
        <w:rPr>
          <w:rFonts w:eastAsiaTheme="minorHAnsi"/>
          <w:sz w:val="28"/>
          <w:szCs w:val="28"/>
          <w:lang w:eastAsia="en-US"/>
        </w:rPr>
        <w:br/>
        <w:t xml:space="preserve">по формуле: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 = ГСМ + </w:t>
      </w:r>
      <w:r>
        <w:rPr>
          <w:rFonts w:eastAsiaTheme="minorHAnsi"/>
          <w:sz w:val="28"/>
          <w:szCs w:val="28"/>
          <w:lang w:eastAsia="en-US"/>
        </w:rPr>
        <w:t xml:space="preserve">С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т</w:t>
      </w:r>
      <w:r>
        <w:rPr>
          <w:rFonts w:eastAsiaTheme="minorHAnsi"/>
          <w:sz w:val="28"/>
          <w:szCs w:val="28"/>
          <w:lang w:eastAsia="en-US"/>
        </w:rPr>
        <w:t xml:space="preserve"> + </w:t>
      </w:r>
      <w:r>
        <w:rPr>
          <w:rFonts w:eastAsiaTheme="minorHAnsi"/>
          <w:sz w:val="28"/>
          <w:szCs w:val="28"/>
          <w:lang w:eastAsia="en-US"/>
        </w:rPr>
        <w:t xml:space="preserve">ТО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т</w:t>
      </w:r>
      <w:r>
        <w:rPr>
          <w:rFonts w:eastAsiaTheme="minorHAnsi"/>
          <w:sz w:val="28"/>
          <w:szCs w:val="28"/>
          <w:lang w:eastAsia="en-US"/>
        </w:rPr>
        <w:t xml:space="preserve">+Р</w:t>
      </w:r>
      <w:r>
        <w:rPr>
          <w:rFonts w:eastAsiaTheme="minorHAnsi"/>
          <w:sz w:val="28"/>
          <w:szCs w:val="28"/>
          <w:lang w:eastAsia="en-US"/>
        </w:rPr>
        <w:t xml:space="preserve">, где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ГСМ – затраты на приобретение горюче-смазочных материалов, руб.;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т</w:t>
      </w:r>
      <w:r>
        <w:rPr>
          <w:rFonts w:eastAsiaTheme="minorHAnsi"/>
          <w:sz w:val="28"/>
          <w:szCs w:val="28"/>
          <w:lang w:eastAsia="en-US"/>
        </w:rPr>
        <w:t xml:space="preserve"> – затраты на страхование гражданской ответственности владельцев транспортных средств, размер которого определяется в соответствии </w:t>
      </w:r>
      <w:r>
        <w:rPr>
          <w:rFonts w:eastAsiaTheme="minorHAnsi"/>
          <w:sz w:val="28"/>
          <w:szCs w:val="28"/>
          <w:lang w:eastAsia="en-US"/>
        </w:rPr>
        <w:br/>
        <w:t xml:space="preserve">с законодательством, руб.;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ТО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т</w:t>
      </w:r>
      <w:r>
        <w:rPr>
          <w:rFonts w:eastAsiaTheme="minorHAnsi"/>
          <w:sz w:val="28"/>
          <w:szCs w:val="28"/>
          <w:lang w:eastAsia="en-US"/>
        </w:rPr>
        <w:t xml:space="preserve"> – затраты на техническое обслуживание транспортных средств (периодичность работ определяется в соответствии с законодательством, состав работ определяется в соответствии с технической эксплуатационной документацией), руб.;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 – расходы на ремонт транспортных средств, включающие в себя расходы на запасные части, трудозатраты, проведение диагностики. Периодичность работ не определяется, работы производятся по мере необходимости, руб.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4.6. Затраты на содержание </w:t>
      </w:r>
      <w:r>
        <w:rPr>
          <w:sz w:val="28"/>
          <w:szCs w:val="28"/>
        </w:rPr>
        <w:t xml:space="preserve">туалетов</w:t>
      </w:r>
      <w:r>
        <w:rPr>
          <w:rFonts w:eastAsiaTheme="minorHAnsi"/>
          <w:sz w:val="28"/>
          <w:szCs w:val="28"/>
          <w:lang w:eastAsia="en-US"/>
        </w:rPr>
        <w:t xml:space="preserve"> (ТО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) определяются по формуле: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ТО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= КУ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 + РМ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+ КНС, где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КУ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 – затраты на коммунальные услуги </w:t>
      </w:r>
      <w:r>
        <w:rPr>
          <w:sz w:val="28"/>
          <w:szCs w:val="28"/>
        </w:rPr>
        <w:t xml:space="preserve">туалета</w:t>
      </w:r>
      <w:r>
        <w:rPr>
          <w:rFonts w:eastAsiaTheme="minorHAnsi"/>
          <w:sz w:val="28"/>
          <w:szCs w:val="28"/>
          <w:lang w:eastAsia="en-US"/>
        </w:rPr>
        <w:t xml:space="preserve"> типа </w:t>
      </w:r>
      <w:r>
        <w:rPr>
          <w:rFonts w:eastAsiaTheme="minorHAnsi"/>
          <w:sz w:val="28"/>
          <w:szCs w:val="28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, в том числе водоснабжение, водоотведение, электроэнергия, вывоз твердых коммунальных отходов*, руб.;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РМ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затраты на расходные материалы для посетителей и уборки туалета типа </w:t>
      </w:r>
      <w:r>
        <w:rPr>
          <w:rFonts w:eastAsiaTheme="minorHAnsi"/>
          <w:sz w:val="28"/>
          <w:szCs w:val="28"/>
          <w:lang w:val="en-US" w:eastAsia="en-US"/>
        </w:rPr>
        <w:t xml:space="preserve">i</w:t>
      </w:r>
      <w:r>
        <w:rPr>
          <w:rFonts w:eastAsiaTheme="minorHAnsi"/>
          <w:sz w:val="28"/>
          <w:szCs w:val="28"/>
          <w:lang w:eastAsia="en-US"/>
        </w:rPr>
        <w:t xml:space="preserve">, размер которых определяется исходя из перечня материалов, установленных в приложении к Методике, руб.;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КНС – затраты на обслуживание канализационной насосной станции**, руб. 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--------------------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* Размер затрат на соответствующую коммунальную услугу определяется исходя из установленного тарифа и объема потребления, определяемого по показаниям приборов учета за предыдущий период (при наличии) или установленного норматива п</w:t>
      </w:r>
      <w:r>
        <w:rPr>
          <w:rFonts w:eastAsiaTheme="minorHAnsi"/>
          <w:sz w:val="24"/>
          <w:szCs w:val="24"/>
          <w:lang w:eastAsia="en-US"/>
        </w:rPr>
        <w:t xml:space="preserve">отребления коммунальной услуги, для коммунальной услуги по обращению с ТКО – с учетом установленного тарифа и объема (массы), определяемого (определяемой) на основе установленного норматива накопления или по данным коммерческого учета за предыдущий период.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** Размер затрат на обслуживание канализационной насосной станции </w:t>
      </w:r>
      <w:r>
        <w:rPr>
          <w:sz w:val="24"/>
          <w:szCs w:val="24"/>
        </w:rPr>
        <w:t xml:space="preserve">туалета</w:t>
      </w:r>
      <w:r>
        <w:rPr>
          <w:rFonts w:eastAsiaTheme="minorHAnsi"/>
          <w:sz w:val="24"/>
          <w:szCs w:val="24"/>
          <w:lang w:eastAsia="en-US"/>
        </w:rPr>
        <w:t xml:space="preserve"> типа </w:t>
      </w:r>
      <w:r>
        <w:rPr>
          <w:rFonts w:eastAsiaTheme="minorHAnsi"/>
          <w:sz w:val="24"/>
          <w:szCs w:val="24"/>
          <w:lang w:val="en-US" w:eastAsia="en-US"/>
        </w:rPr>
        <w:t xml:space="preserve">i</w:t>
      </w:r>
      <w:r>
        <w:rPr>
          <w:rFonts w:eastAsiaTheme="minorHAnsi"/>
          <w:sz w:val="24"/>
          <w:szCs w:val="24"/>
          <w:lang w:eastAsia="en-US"/>
        </w:rPr>
        <w:t xml:space="preserve"> определяется на основе фактических затрат за предыдущий период с учетом индексации.</w:t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4.7. Общехозяйственные расходы (О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хр</w:t>
      </w:r>
      <w:r>
        <w:rPr>
          <w:rFonts w:eastAsiaTheme="minorHAnsi"/>
          <w:sz w:val="28"/>
          <w:szCs w:val="28"/>
          <w:lang w:eastAsia="en-US"/>
        </w:rPr>
        <w:t xml:space="preserve">) определяются по формуле: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хр</w:t>
      </w:r>
      <w:r>
        <w:rPr>
          <w:rFonts w:eastAsiaTheme="minorHAnsi"/>
          <w:sz w:val="28"/>
          <w:szCs w:val="28"/>
          <w:lang w:eastAsia="en-US"/>
        </w:rPr>
        <w:t xml:space="preserve"> = (</w:t>
      </w:r>
      <w:r>
        <w:rPr>
          <w:rFonts w:eastAsiaTheme="minorHAnsi"/>
          <w:sz w:val="28"/>
          <w:szCs w:val="28"/>
          <w:lang w:eastAsia="en-US"/>
        </w:rPr>
        <w:t xml:space="preserve">ЗП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охр</w:t>
      </w:r>
      <w:r>
        <w:rPr>
          <w:rFonts w:eastAsiaTheme="minorHAnsi"/>
          <w:sz w:val="28"/>
          <w:szCs w:val="28"/>
          <w:lang w:eastAsia="en-US"/>
        </w:rPr>
        <w:t xml:space="preserve"> + </w:t>
      </w:r>
      <w:r>
        <w:rPr>
          <w:rFonts w:eastAsiaTheme="minorHAnsi"/>
          <w:sz w:val="28"/>
          <w:szCs w:val="28"/>
          <w:lang w:eastAsia="en-US"/>
        </w:rPr>
        <w:t xml:space="preserve">Р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охр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+ МО + </w:t>
      </w:r>
      <w:r>
        <w:rPr>
          <w:rFonts w:eastAsiaTheme="minorHAnsi"/>
          <w:sz w:val="28"/>
          <w:szCs w:val="28"/>
          <w:lang w:eastAsia="en-US"/>
        </w:rPr>
        <w:t xml:space="preserve">ОТ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охр</w:t>
      </w:r>
      <w:r>
        <w:rPr>
          <w:rFonts w:eastAsiaTheme="minorHAnsi"/>
          <w:sz w:val="28"/>
          <w:szCs w:val="28"/>
          <w:lang w:eastAsia="en-US"/>
        </w:rPr>
        <w:t xml:space="preserve"> + </w:t>
      </w:r>
      <w:r>
        <w:rPr>
          <w:rFonts w:eastAsiaTheme="minorHAnsi"/>
          <w:sz w:val="28"/>
          <w:szCs w:val="28"/>
          <w:lang w:eastAsia="en-US"/>
        </w:rPr>
        <w:t xml:space="preserve">КУ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охр</w:t>
      </w:r>
      <w:r>
        <w:rPr>
          <w:rFonts w:eastAsiaTheme="minorHAnsi"/>
          <w:sz w:val="28"/>
          <w:szCs w:val="28"/>
          <w:lang w:eastAsia="en-US"/>
        </w:rPr>
        <w:t xml:space="preserve">)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 где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ЗП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охр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заработная плата с учетом отчислений работников общехозяйственного назначения, руб.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right="5" w:firstLine="709"/>
        <w:jc w:val="both"/>
        <w:shd w:val="clear" w:color="auto" w:fill="ffffff" w:themeFill="background1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Размер заработной платы работников общехозяйственного назначения </w:t>
      </w:r>
      <w:r>
        <w:rPr>
          <w:rFonts w:eastAsiaTheme="minorHAnsi"/>
          <w:sz w:val="28"/>
          <w:szCs w:val="28"/>
        </w:rPr>
        <w:t xml:space="preserve">определяется в соответствии с действующим законодательством и локальными нормативно-правовыми актами предприятия и долей участия персонала, занятого в процессе обслуживания туалетов.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ind w:firstLine="709"/>
        <w:jc w:val="both"/>
        <w:shd w:val="clear" w:color="auto" w:fill="ffffff" w:themeFill="background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 xml:space="preserve">Размер отчислений от заработной платы </w:t>
      </w:r>
      <w:r>
        <w:rPr>
          <w:rFonts w:eastAsiaTheme="minorHAnsi"/>
          <w:sz w:val="28"/>
          <w:szCs w:val="28"/>
          <w:lang w:eastAsia="en-US"/>
        </w:rPr>
        <w:t xml:space="preserve">работников общехозяйственного назначения </w:t>
      </w:r>
      <w:r>
        <w:rPr>
          <w:rFonts w:eastAsiaTheme="minorHAnsi"/>
          <w:sz w:val="28"/>
          <w:szCs w:val="28"/>
        </w:rPr>
        <w:t xml:space="preserve">определяется в соответствии с Налоговым кодексом Российской Федерации, а также Федеральным законом от 24 июля 1998 г. № 125-ФЗ </w:t>
      </w:r>
      <w:r>
        <w:rPr>
          <w:rFonts w:eastAsiaTheme="minorHAnsi"/>
          <w:sz w:val="28"/>
          <w:szCs w:val="28"/>
        </w:rPr>
        <w:br/>
        <w:t xml:space="preserve">«Об обязательном социальном страховании от несчастных случаев на производстве и профессиональных заболеваний».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охр</w:t>
      </w:r>
      <w:r>
        <w:rPr>
          <w:rFonts w:eastAsiaTheme="minorHAnsi"/>
          <w:sz w:val="28"/>
          <w:szCs w:val="28"/>
          <w:lang w:eastAsia="en-US"/>
        </w:rPr>
        <w:t xml:space="preserve"> – расходы на ремонт помещений общехозяйственного назначения, необходимых для обслуживания туалетов, которые определяются в соответствии с необходимыми объемом и видами работ и стоимости работ, определенных на основании локальных сметных расчетов, руб.;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МО – расходы на создание рабочих мест работников, занятых в процессе управления обслуживанием туалетов (расходы на приобретение мебели, оргтехники, оборудования, канцелярских принадлежностей и другое), руб.; 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охр</w:t>
      </w:r>
      <w:r>
        <w:rPr>
          <w:rFonts w:eastAsiaTheme="minorHAnsi"/>
          <w:sz w:val="28"/>
          <w:szCs w:val="28"/>
          <w:lang w:eastAsia="en-US"/>
        </w:rPr>
        <w:t xml:space="preserve"> – расходы на приобретение оборудования в целях соблюдения условий по охране труда работников, занятых обслуживанием туалетов (расходы на приобретение оборудования прачечных и душевых помещений и другое), руб.;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КУ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охр</w:t>
      </w:r>
      <w:r>
        <w:rPr>
          <w:rFonts w:eastAsiaTheme="minorHAnsi"/>
          <w:sz w:val="28"/>
          <w:szCs w:val="28"/>
          <w:lang w:eastAsia="en-US"/>
        </w:rPr>
        <w:t xml:space="preserve">– затраты на коммунальные услуги помещений общехозяйственного назначения, предназначенных для работников, занятых обслуживанием туалетов.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  <w:r>
        <w:rPr>
          <w:rFonts w:eastAsiaTheme="minorHAnsi"/>
          <w:sz w:val="24"/>
          <w:szCs w:val="24"/>
          <w:lang w:eastAsia="en-US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V</w:t>
      </w:r>
      <w:r>
        <w:rPr>
          <w:b/>
          <w:bCs/>
          <w:sz w:val="28"/>
          <w:szCs w:val="28"/>
        </w:rPr>
        <w:t xml:space="preserve">.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Порядок финансового обеспечения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Размер стоимости работ по содержанию и текущему ремонту </w:t>
      </w:r>
      <w:r>
        <w:rPr>
          <w:sz w:val="28"/>
          <w:szCs w:val="28"/>
        </w:rPr>
        <w:t xml:space="preserve">туалетов </w:t>
      </w:r>
      <w:r>
        <w:rPr>
          <w:rFonts w:eastAsiaTheme="minorHAnsi"/>
          <w:sz w:val="28"/>
          <w:szCs w:val="28"/>
          <w:lang w:eastAsia="en-US"/>
        </w:rPr>
        <w:t xml:space="preserve">определен в ценах 2024 года и является базовой стоимостью для определения объ</w:t>
      </w:r>
      <w:r>
        <w:rPr>
          <w:rFonts w:eastAsiaTheme="minorHAnsi"/>
          <w:sz w:val="28"/>
          <w:szCs w:val="28"/>
          <w:lang w:eastAsia="en-US"/>
        </w:rPr>
        <w:t xml:space="preserve">емов финансирования из бюджета города Перми на очередной финансовый год и плановый период с применением среднегодового индекса потребительских цен (либо индексов роста доходов), доведенных с учетом сценарных условий функционирования экономики города Перми.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lef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Методике расчета стоимости работ по содержанию санитарно-бытовых помещений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расходных материалов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для посетителей и уборки туалетов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37"/>
        <w:gridCol w:w="2271"/>
        <w:gridCol w:w="4103"/>
      </w:tblGrid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4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кабинку/ туалет,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7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7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Бумага туалетная, однослойная, 200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5" w:type="pc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7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 дня летний период – замена один раз в 2 дня, 182 дня зимний период – замена один раз в неделю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Диспенсер для туалетной бумаги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5" w:type="pc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7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1 шт. в каждой кабинке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Жидкое мыло, 1 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5" w:type="pc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7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 дня летний период – 0,5 л/день, 182 дня зимний период – </w:t>
            </w:r>
            <w:r>
              <w:rPr>
                <w:sz w:val="24"/>
                <w:szCs w:val="24"/>
              </w:rPr>
              <w:br/>
              <w:t xml:space="preserve">0,5 л/неделю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Дозатор для мыла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5" w:type="pc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7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1 шт. у раковины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Дезинфицирующие средства для унитазов 1л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5" w:type="pc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7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 дня летний период – 0,5 л/день, 182 дня зимний период – 0,1 л/день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Ведро мусорное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5" w:type="pc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7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1 шт. в каждой кабинке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Тряпка для стен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5" w:type="pc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7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шт. в квартал на туалет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Тряпка для пола (насадка для швабры)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5" w:type="pc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7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одна в месяц на туалет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Швабра, ведро для мытья пола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5" w:type="pc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7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комплект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Ершики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5" w:type="pc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7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ершик в год на одну кабинку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Метла для уборки прилегающей территории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5" w:type="pc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7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метла в год на один туалет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Освежитель воздуха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5" w:type="pc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7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баллон в месяц на один туалет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Пакеты 120 л (10 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5" w:type="pc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7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шт. в день на один туалет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Пакеты 30 л (30 шт.)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5" w:type="pc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7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 дня летний период – 1 шт. в день, 182 дня зимний период – 1 шт. в неделю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Перчатки резиновые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5" w:type="pc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7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пара в месяц на один туалет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Жидкость для удаления граффити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5" w:type="pc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7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 л (полбаллона) в год на один туалет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4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Лопата для уборки снега (для круглогодичных)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5" w:type="pc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70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шт. в год (на круглогодичный туалет)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jc w:val="both"/>
        <w:spacing w:line="240" w:lineRule="exact"/>
        <w:rPr>
          <w:sz w:val="28"/>
          <w:szCs w:val="28"/>
        </w:rPr>
        <w:sectPr>
          <w:footnotePr/>
          <w:endnotePr/>
          <w:type w:val="continuous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17.12.2024 № 1239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стоимости работ по содержанию санитарно-бытовых помещений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2329"/>
        <w:gridCol w:w="2234"/>
        <w:gridCol w:w="2235"/>
      </w:tblGrid>
      <w:tr>
        <w:tblPrEx/>
        <w:trPr>
          <w:trHeight w:val="480"/>
        </w:trPr>
        <w:tc>
          <w:tcPr>
            <w:shd w:val="clear" w:color="auto" w:fill="auto"/>
            <w:tcW w:w="31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Тип </w:t>
            </w:r>
            <w:r>
              <w:rPr>
                <w:sz w:val="28"/>
                <w:szCs w:val="28"/>
              </w:rPr>
              <w:t xml:space="preserve">туалетов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W w:w="680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Стоимость работ на содержание одного туалета, руб.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40"/>
        </w:trPr>
        <w:tc>
          <w:tcPr>
            <w:shd w:val="clear" w:color="auto" w:fill="auto"/>
            <w:tcW w:w="311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2027 год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40"/>
        </w:trPr>
        <w:tc>
          <w:tcPr>
            <w:shd w:val="clear" w:color="ffffff" w:fill="ffffff"/>
            <w:tcW w:w="31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233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223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223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117" w:type="dxa"/>
            <w:textDirection w:val="lrTb"/>
            <w:noWrap w:val="false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Модульные </w:t>
            </w:r>
            <w:r>
              <w:rPr>
                <w:sz w:val="28"/>
                <w:szCs w:val="28"/>
              </w:rPr>
              <w:t xml:space="preserve">туалеты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2331" w:type="dxa"/>
            <w:textDirection w:val="lrTb"/>
            <w:noWrap w:val="false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 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11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4-секционный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1-кабиночный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835552,00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878217,00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920498,00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11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3-секционный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1-кабиночный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805440,00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840371,00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878914,00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11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2-секционный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1-кабиночный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1023451,00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1074363,00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1126695,00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11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2-секционный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2-кабиночный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1632642,00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1707401,00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1785908,00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117" w:type="dxa"/>
            <w:textDirection w:val="lrTb"/>
            <w:noWrap w:val="false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Стационарные туалеты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11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2-секционный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3-кабиночный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2480501,00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2600942,00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2724939,00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11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2-секционный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4-кабиночный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1059662,00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1117030,00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1172987,00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11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2-секционный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6-кабиночный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5356712,00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5694941,00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3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6020053,00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continuous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5</w:t>
    </w:r>
    <w:r>
      <w:fldChar w:fldCharType="end"/>
    </w:r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87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Calibri" w:hAnsi="Calibri" w:cs="Calibri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 w:default="1">
    <w:name w:val="Normal"/>
    <w:qFormat/>
  </w:style>
  <w:style w:type="paragraph" w:styleId="677">
    <w:name w:val="Heading 1"/>
    <w:basedOn w:val="676"/>
    <w:next w:val="676"/>
    <w:link w:val="704"/>
    <w:qFormat/>
    <w:pPr>
      <w:ind w:right="-1" w:firstLine="709"/>
      <w:jc w:val="both"/>
      <w:keepNext/>
      <w:outlineLvl w:val="0"/>
    </w:pPr>
    <w:rPr>
      <w:sz w:val="24"/>
    </w:rPr>
  </w:style>
  <w:style w:type="paragraph" w:styleId="678">
    <w:name w:val="Heading 2"/>
    <w:basedOn w:val="676"/>
    <w:next w:val="676"/>
    <w:link w:val="705"/>
    <w:qFormat/>
    <w:pPr>
      <w:ind w:right="-1"/>
      <w:jc w:val="both"/>
      <w:keepNext/>
      <w:outlineLvl w:val="1"/>
    </w:pPr>
    <w:rPr>
      <w:sz w:val="24"/>
    </w:rPr>
  </w:style>
  <w:style w:type="paragraph" w:styleId="679">
    <w:name w:val="Heading 3"/>
    <w:basedOn w:val="676"/>
    <w:next w:val="676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next w:val="676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676"/>
    <w:next w:val="6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676"/>
    <w:next w:val="676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676"/>
    <w:next w:val="6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676"/>
    <w:next w:val="676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Heading 1 Char"/>
    <w:basedOn w:val="686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Heading 2 Char"/>
    <w:basedOn w:val="686"/>
    <w:uiPriority w:val="9"/>
    <w:rPr>
      <w:rFonts w:ascii="Arial" w:hAnsi="Arial" w:eastAsia="Arial" w:cs="Arial"/>
      <w:sz w:val="34"/>
    </w:rPr>
  </w:style>
  <w:style w:type="character" w:styleId="691" w:customStyle="1">
    <w:name w:val="Heading 3 Char"/>
    <w:basedOn w:val="686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Heading 4 Char"/>
    <w:basedOn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Heading 5 Char"/>
    <w:basedOn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Heading 6 Char"/>
    <w:basedOn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7 Char"/>
    <w:basedOn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Heading 8 Char"/>
    <w:basedOn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Heading 9 Char"/>
    <w:basedOn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8" w:customStyle="1">
    <w:name w:val="Title Char"/>
    <w:basedOn w:val="686"/>
    <w:uiPriority w:val="10"/>
    <w:rPr>
      <w:sz w:val="48"/>
      <w:szCs w:val="48"/>
    </w:rPr>
  </w:style>
  <w:style w:type="character" w:styleId="699" w:customStyle="1">
    <w:name w:val="Subtitle Char"/>
    <w:basedOn w:val="686"/>
    <w:uiPriority w:val="11"/>
    <w:rPr>
      <w:sz w:val="24"/>
      <w:szCs w:val="24"/>
    </w:rPr>
  </w:style>
  <w:style w:type="character" w:styleId="700" w:customStyle="1">
    <w:name w:val="Quote Char"/>
    <w:uiPriority w:val="29"/>
    <w:rPr>
      <w:i/>
    </w:rPr>
  </w:style>
  <w:style w:type="character" w:styleId="701" w:customStyle="1">
    <w:name w:val="Intense Quote Char"/>
    <w:uiPriority w:val="30"/>
    <w:rPr>
      <w:i/>
    </w:rPr>
  </w:style>
  <w:style w:type="character" w:styleId="702" w:customStyle="1">
    <w:name w:val="Footnote Text Char"/>
    <w:uiPriority w:val="99"/>
    <w:rPr>
      <w:sz w:val="18"/>
    </w:rPr>
  </w:style>
  <w:style w:type="character" w:styleId="703" w:customStyle="1">
    <w:name w:val="Endnote Text Char"/>
    <w:uiPriority w:val="99"/>
    <w:rPr>
      <w:sz w:val="20"/>
    </w:rPr>
  </w:style>
  <w:style w:type="character" w:styleId="704" w:customStyle="1">
    <w:name w:val="Заголовок 1 Знак"/>
    <w:basedOn w:val="686"/>
    <w:link w:val="677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basedOn w:val="686"/>
    <w:link w:val="678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Title"/>
    <w:basedOn w:val="676"/>
    <w:next w:val="676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Название Знак"/>
    <w:basedOn w:val="686"/>
    <w:link w:val="713"/>
    <w:uiPriority w:val="10"/>
    <w:rPr>
      <w:sz w:val="48"/>
      <w:szCs w:val="48"/>
    </w:rPr>
  </w:style>
  <w:style w:type="paragraph" w:styleId="715">
    <w:name w:val="Subtitle"/>
    <w:basedOn w:val="676"/>
    <w:next w:val="676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 w:customStyle="1">
    <w:name w:val="Подзаголовок Знак"/>
    <w:basedOn w:val="686"/>
    <w:link w:val="715"/>
    <w:uiPriority w:val="11"/>
    <w:rPr>
      <w:sz w:val="24"/>
      <w:szCs w:val="24"/>
    </w:rPr>
  </w:style>
  <w:style w:type="paragraph" w:styleId="717">
    <w:name w:val="Quote"/>
    <w:basedOn w:val="676"/>
    <w:next w:val="676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76"/>
    <w:next w:val="676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character" w:styleId="721" w:customStyle="1">
    <w:name w:val="Header Char"/>
    <w:basedOn w:val="686"/>
    <w:uiPriority w:val="99"/>
  </w:style>
  <w:style w:type="character" w:styleId="722" w:customStyle="1">
    <w:name w:val="Footer Char"/>
    <w:basedOn w:val="686"/>
    <w:uiPriority w:val="99"/>
  </w:style>
  <w:style w:type="character" w:styleId="723" w:customStyle="1">
    <w:name w:val="Caption Char"/>
    <w:uiPriority w:val="99"/>
  </w:style>
  <w:style w:type="table" w:styleId="724" w:customStyle="1">
    <w:name w:val="Table Grid Light"/>
    <w:basedOn w:val="68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68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68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68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basedOn w:val="687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basedOn w:val="687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basedOn w:val="687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basedOn w:val="687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basedOn w:val="687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basedOn w:val="687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68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basedOn w:val="687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basedOn w:val="68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basedOn w:val="68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basedOn w:val="68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basedOn w:val="687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basedOn w:val="687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68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basedOn w:val="687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basedOn w:val="68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basedOn w:val="68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basedOn w:val="68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basedOn w:val="687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basedOn w:val="687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68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basedOn w:val="687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3" w:customStyle="1">
    <w:name w:val="Grid Table 4 - Accent 2"/>
    <w:basedOn w:val="687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4" w:customStyle="1">
    <w:name w:val="Grid Table 4 - Accent 3"/>
    <w:basedOn w:val="687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5" w:customStyle="1">
    <w:name w:val="Grid Table 4 - Accent 4"/>
    <w:basedOn w:val="687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6" w:customStyle="1">
    <w:name w:val="Grid Table 4 - Accent 5"/>
    <w:basedOn w:val="687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7" w:customStyle="1">
    <w:name w:val="Grid Table 4 - Accent 6"/>
    <w:basedOn w:val="687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8">
    <w:name w:val="Grid Table 5 Dark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basedOn w:val="6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5">
    <w:name w:val="Grid Table 6 Colorful"/>
    <w:basedOn w:val="68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basedOn w:val="687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7" w:customStyle="1">
    <w:name w:val="Grid Table 6 Colorful - Accent 2"/>
    <w:basedOn w:val="68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8" w:customStyle="1">
    <w:name w:val="Grid Table 6 Colorful - Accent 3"/>
    <w:basedOn w:val="687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9" w:customStyle="1">
    <w:name w:val="Grid Table 6 Colorful - Accent 4"/>
    <w:basedOn w:val="68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0" w:customStyle="1">
    <w:name w:val="Grid Table 6 Colorful - Accent 5"/>
    <w:basedOn w:val="687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1" w:customStyle="1">
    <w:name w:val="Grid Table 6 Colorful - Accent 6"/>
    <w:basedOn w:val="687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2">
    <w:name w:val="Grid Table 7 Colorful"/>
    <w:basedOn w:val="68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1"/>
    <w:basedOn w:val="687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2"/>
    <w:basedOn w:val="687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3"/>
    <w:basedOn w:val="687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4"/>
    <w:basedOn w:val="687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5"/>
    <w:basedOn w:val="687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6"/>
    <w:basedOn w:val="687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>
    <w:name w:val="List Table 1 Light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basedOn w:val="6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68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basedOn w:val="687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basedOn w:val="687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basedOn w:val="687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basedOn w:val="687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basedOn w:val="687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basedOn w:val="687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68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basedOn w:val="687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basedOn w:val="68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basedOn w:val="68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basedOn w:val="68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basedOn w:val="687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basedOn w:val="68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68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basedOn w:val="687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basedOn w:val="687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basedOn w:val="687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basedOn w:val="687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basedOn w:val="687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basedOn w:val="687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68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basedOn w:val="687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basedOn w:val="68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basedOn w:val="68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basedOn w:val="68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basedOn w:val="687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basedOn w:val="68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>
    <w:name w:val="List Table 6 Colorful"/>
    <w:basedOn w:val="68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5" w:customStyle="1">
    <w:name w:val="List Table 6 Colorful - Accent 1"/>
    <w:basedOn w:val="687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6" w:customStyle="1">
    <w:name w:val="List Table 6 Colorful - Accent 2"/>
    <w:basedOn w:val="687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7" w:customStyle="1">
    <w:name w:val="List Table 6 Colorful - Accent 3"/>
    <w:basedOn w:val="687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8" w:customStyle="1">
    <w:name w:val="List Table 6 Colorful - Accent 4"/>
    <w:basedOn w:val="687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9" w:customStyle="1">
    <w:name w:val="List Table 6 Colorful - Accent 5"/>
    <w:basedOn w:val="687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0" w:customStyle="1">
    <w:name w:val="List Table 6 Colorful - Accent 6"/>
    <w:basedOn w:val="687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1">
    <w:name w:val="List Table 7 Colorful"/>
    <w:basedOn w:val="68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1"/>
    <w:basedOn w:val="687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2"/>
    <w:basedOn w:val="687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3"/>
    <w:basedOn w:val="687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4"/>
    <w:basedOn w:val="687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5"/>
    <w:basedOn w:val="687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6"/>
    <w:basedOn w:val="687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ned - Accent"/>
    <w:basedOn w:val="68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Lined - Accent 1"/>
    <w:basedOn w:val="68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0" w:customStyle="1">
    <w:name w:val="Lined - Accent 2"/>
    <w:basedOn w:val="68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1" w:customStyle="1">
    <w:name w:val="Lined - Accent 3"/>
    <w:basedOn w:val="68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2" w:customStyle="1">
    <w:name w:val="Lined - Accent 4"/>
    <w:basedOn w:val="68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3" w:customStyle="1">
    <w:name w:val="Lined - Accent 5"/>
    <w:basedOn w:val="68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4" w:customStyle="1">
    <w:name w:val="Lined - Accent 6"/>
    <w:basedOn w:val="68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5" w:customStyle="1">
    <w:name w:val="Bordered &amp; Lined - Accent"/>
    <w:basedOn w:val="68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Bordered &amp; Lined - Accent 1"/>
    <w:basedOn w:val="68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7" w:customStyle="1">
    <w:name w:val="Bordered &amp; Lined - Accent 2"/>
    <w:basedOn w:val="68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8" w:customStyle="1">
    <w:name w:val="Bordered &amp; Lined - Accent 3"/>
    <w:basedOn w:val="68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9" w:customStyle="1">
    <w:name w:val="Bordered &amp; Lined - Accent 4"/>
    <w:basedOn w:val="68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0" w:customStyle="1">
    <w:name w:val="Bordered &amp; Lined - Accent 5"/>
    <w:basedOn w:val="68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1" w:customStyle="1">
    <w:name w:val="Bordered &amp; Lined - Accent 6"/>
    <w:basedOn w:val="68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2" w:customStyle="1">
    <w:name w:val="Bordered"/>
    <w:basedOn w:val="68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3" w:customStyle="1">
    <w:name w:val="Bordered - Accent 1"/>
    <w:basedOn w:val="687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4" w:customStyle="1">
    <w:name w:val="Bordered - Accent 2"/>
    <w:basedOn w:val="687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5" w:customStyle="1">
    <w:name w:val="Bordered - Accent 3"/>
    <w:basedOn w:val="687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6" w:customStyle="1">
    <w:name w:val="Bordered - Accent 4"/>
    <w:basedOn w:val="687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7" w:customStyle="1">
    <w:name w:val="Bordered - Accent 5"/>
    <w:basedOn w:val="687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8" w:customStyle="1">
    <w:name w:val="Bordered - Accent 6"/>
    <w:basedOn w:val="687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9">
    <w:name w:val="footnote text"/>
    <w:basedOn w:val="676"/>
    <w:link w:val="850"/>
    <w:uiPriority w:val="99"/>
    <w:semiHidden/>
    <w:unhideWhenUsed/>
    <w:pPr>
      <w:spacing w:after="40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basedOn w:val="686"/>
    <w:uiPriority w:val="99"/>
    <w:unhideWhenUsed/>
    <w:rPr>
      <w:vertAlign w:val="superscript"/>
    </w:rPr>
  </w:style>
  <w:style w:type="paragraph" w:styleId="852">
    <w:name w:val="endnote text"/>
    <w:basedOn w:val="676"/>
    <w:link w:val="853"/>
    <w:uiPriority w:val="99"/>
    <w:semiHidden/>
    <w:unhideWhenUsed/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basedOn w:val="686"/>
    <w:uiPriority w:val="99"/>
    <w:semiHidden/>
    <w:unhideWhenUsed/>
    <w:rPr>
      <w:vertAlign w:val="superscript"/>
    </w:rPr>
  </w:style>
  <w:style w:type="paragraph" w:styleId="855">
    <w:name w:val="toc 1"/>
    <w:basedOn w:val="676"/>
    <w:next w:val="676"/>
    <w:uiPriority w:val="39"/>
    <w:unhideWhenUsed/>
    <w:pPr>
      <w:spacing w:after="57"/>
    </w:pPr>
  </w:style>
  <w:style w:type="paragraph" w:styleId="856">
    <w:name w:val="toc 2"/>
    <w:basedOn w:val="676"/>
    <w:next w:val="676"/>
    <w:uiPriority w:val="39"/>
    <w:unhideWhenUsed/>
    <w:pPr>
      <w:ind w:left="283"/>
      <w:spacing w:after="57"/>
    </w:pPr>
  </w:style>
  <w:style w:type="paragraph" w:styleId="857">
    <w:name w:val="toc 3"/>
    <w:basedOn w:val="676"/>
    <w:next w:val="676"/>
    <w:uiPriority w:val="39"/>
    <w:unhideWhenUsed/>
    <w:pPr>
      <w:ind w:left="567"/>
      <w:spacing w:after="57"/>
    </w:pPr>
  </w:style>
  <w:style w:type="paragraph" w:styleId="858">
    <w:name w:val="toc 4"/>
    <w:basedOn w:val="676"/>
    <w:next w:val="676"/>
    <w:uiPriority w:val="39"/>
    <w:unhideWhenUsed/>
    <w:pPr>
      <w:ind w:left="850"/>
      <w:spacing w:after="57"/>
    </w:pPr>
  </w:style>
  <w:style w:type="paragraph" w:styleId="859">
    <w:name w:val="toc 5"/>
    <w:basedOn w:val="676"/>
    <w:next w:val="676"/>
    <w:uiPriority w:val="39"/>
    <w:unhideWhenUsed/>
    <w:pPr>
      <w:ind w:left="1134"/>
      <w:spacing w:after="57"/>
    </w:pPr>
  </w:style>
  <w:style w:type="paragraph" w:styleId="860">
    <w:name w:val="toc 6"/>
    <w:basedOn w:val="676"/>
    <w:next w:val="676"/>
    <w:uiPriority w:val="39"/>
    <w:unhideWhenUsed/>
    <w:pPr>
      <w:ind w:left="1417"/>
      <w:spacing w:after="57"/>
    </w:pPr>
  </w:style>
  <w:style w:type="paragraph" w:styleId="861">
    <w:name w:val="toc 7"/>
    <w:basedOn w:val="676"/>
    <w:next w:val="676"/>
    <w:uiPriority w:val="39"/>
    <w:unhideWhenUsed/>
    <w:pPr>
      <w:ind w:left="1701"/>
      <w:spacing w:after="57"/>
    </w:pPr>
  </w:style>
  <w:style w:type="paragraph" w:styleId="862">
    <w:name w:val="toc 8"/>
    <w:basedOn w:val="676"/>
    <w:next w:val="676"/>
    <w:uiPriority w:val="39"/>
    <w:unhideWhenUsed/>
    <w:pPr>
      <w:ind w:left="1984"/>
      <w:spacing w:after="57"/>
    </w:pPr>
  </w:style>
  <w:style w:type="paragraph" w:styleId="863">
    <w:name w:val="toc 9"/>
    <w:basedOn w:val="676"/>
    <w:next w:val="676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76"/>
    <w:next w:val="676"/>
    <w:uiPriority w:val="99"/>
    <w:unhideWhenUsed/>
  </w:style>
  <w:style w:type="paragraph" w:styleId="866">
    <w:name w:val="Caption"/>
    <w:basedOn w:val="676"/>
    <w:next w:val="67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7">
    <w:name w:val="Body Text"/>
    <w:basedOn w:val="676"/>
    <w:link w:val="895"/>
    <w:pPr>
      <w:ind w:right="3117"/>
    </w:pPr>
    <w:rPr>
      <w:rFonts w:ascii="Courier New" w:hAnsi="Courier New"/>
      <w:sz w:val="26"/>
    </w:rPr>
  </w:style>
  <w:style w:type="paragraph" w:styleId="868">
    <w:name w:val="Body Text Indent"/>
    <w:basedOn w:val="676"/>
    <w:pPr>
      <w:ind w:right="-1"/>
      <w:jc w:val="both"/>
    </w:pPr>
    <w:rPr>
      <w:sz w:val="26"/>
    </w:rPr>
  </w:style>
  <w:style w:type="paragraph" w:styleId="869">
    <w:name w:val="Footer"/>
    <w:basedOn w:val="676"/>
    <w:link w:val="954"/>
    <w:uiPriority w:val="99"/>
    <w:pPr>
      <w:tabs>
        <w:tab w:val="center" w:pos="4153" w:leader="none"/>
        <w:tab w:val="right" w:pos="8306" w:leader="none"/>
      </w:tabs>
    </w:pPr>
  </w:style>
  <w:style w:type="character" w:styleId="870">
    <w:name w:val="page number"/>
    <w:basedOn w:val="686"/>
  </w:style>
  <w:style w:type="paragraph" w:styleId="871">
    <w:name w:val="Header"/>
    <w:basedOn w:val="676"/>
    <w:link w:val="874"/>
    <w:uiPriority w:val="99"/>
    <w:pPr>
      <w:tabs>
        <w:tab w:val="center" w:pos="4153" w:leader="none"/>
        <w:tab w:val="right" w:pos="8306" w:leader="none"/>
      </w:tabs>
    </w:pPr>
  </w:style>
  <w:style w:type="paragraph" w:styleId="872">
    <w:name w:val="Balloon Text"/>
    <w:basedOn w:val="676"/>
    <w:link w:val="873"/>
    <w:uiPriority w:val="99"/>
    <w:rPr>
      <w:rFonts w:ascii="Segoe UI" w:hAnsi="Segoe UI" w:cs="Segoe UI"/>
      <w:sz w:val="18"/>
      <w:szCs w:val="18"/>
    </w:rPr>
  </w:style>
  <w:style w:type="character" w:styleId="873" w:customStyle="1">
    <w:name w:val="Текст выноски Знак"/>
    <w:link w:val="872"/>
    <w:uiPriority w:val="99"/>
    <w:rPr>
      <w:rFonts w:ascii="Segoe UI" w:hAnsi="Segoe UI" w:cs="Segoe UI"/>
      <w:sz w:val="18"/>
      <w:szCs w:val="18"/>
    </w:rPr>
  </w:style>
  <w:style w:type="character" w:styleId="874" w:customStyle="1">
    <w:name w:val="Верхний колонтитул Знак"/>
    <w:link w:val="871"/>
    <w:uiPriority w:val="99"/>
  </w:style>
  <w:style w:type="numbering" w:styleId="875" w:customStyle="1">
    <w:name w:val="Нет списка1"/>
    <w:next w:val="688"/>
    <w:uiPriority w:val="99"/>
    <w:semiHidden/>
    <w:unhideWhenUsed/>
  </w:style>
  <w:style w:type="paragraph" w:styleId="87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77">
    <w:name w:val="Hyperlink"/>
    <w:uiPriority w:val="99"/>
    <w:unhideWhenUsed/>
    <w:rPr>
      <w:color w:val="0000ff"/>
      <w:u w:val="single"/>
    </w:rPr>
  </w:style>
  <w:style w:type="character" w:styleId="878">
    <w:name w:val="FollowedHyperlink"/>
    <w:uiPriority w:val="99"/>
    <w:unhideWhenUsed/>
    <w:rPr>
      <w:color w:val="800080"/>
      <w:u w:val="single"/>
    </w:rPr>
  </w:style>
  <w:style w:type="paragraph" w:styleId="879" w:customStyle="1">
    <w:name w:val="xl65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0" w:customStyle="1">
    <w:name w:val="xl66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1" w:customStyle="1">
    <w:name w:val="xl67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2" w:customStyle="1">
    <w:name w:val="xl68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3" w:customStyle="1">
    <w:name w:val="xl69"/>
    <w:basedOn w:val="6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4" w:customStyle="1">
    <w:name w:val="xl70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5" w:customStyle="1">
    <w:name w:val="xl71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6" w:customStyle="1">
    <w:name w:val="xl72"/>
    <w:basedOn w:val="6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7" w:customStyle="1">
    <w:name w:val="xl73"/>
    <w:basedOn w:val="6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74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75"/>
    <w:basedOn w:val="67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6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77"/>
    <w:basedOn w:val="67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8"/>
    <w:basedOn w:val="67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9"/>
    <w:basedOn w:val="67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Форма"/>
    <w:rPr>
      <w:sz w:val="28"/>
      <w:szCs w:val="28"/>
    </w:rPr>
  </w:style>
  <w:style w:type="character" w:styleId="895" w:customStyle="1">
    <w:name w:val="Основной текст Знак"/>
    <w:link w:val="867"/>
    <w:rPr>
      <w:rFonts w:ascii="Courier New" w:hAnsi="Courier New"/>
      <w:sz w:val="26"/>
    </w:rPr>
  </w:style>
  <w:style w:type="paragraph" w:styleId="896" w:customStyle="1">
    <w:name w:val="ConsPlusNormal"/>
    <w:rPr>
      <w:sz w:val="28"/>
      <w:szCs w:val="28"/>
    </w:rPr>
  </w:style>
  <w:style w:type="numbering" w:styleId="897" w:customStyle="1">
    <w:name w:val="Нет списка11"/>
    <w:next w:val="688"/>
    <w:uiPriority w:val="99"/>
    <w:semiHidden/>
    <w:unhideWhenUsed/>
  </w:style>
  <w:style w:type="numbering" w:styleId="898" w:customStyle="1">
    <w:name w:val="Нет списка111"/>
    <w:next w:val="688"/>
    <w:uiPriority w:val="99"/>
    <w:semiHidden/>
    <w:unhideWhenUsed/>
  </w:style>
  <w:style w:type="paragraph" w:styleId="899" w:customStyle="1">
    <w:name w:val="font5"/>
    <w:basedOn w:val="67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0" w:customStyle="1">
    <w:name w:val="xl80"/>
    <w:basedOn w:val="6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1" w:customStyle="1">
    <w:name w:val="xl81"/>
    <w:basedOn w:val="6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2" w:customStyle="1">
    <w:name w:val="xl82"/>
    <w:basedOn w:val="67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03">
    <w:name w:val="Table Grid"/>
    <w:basedOn w:val="687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4" w:customStyle="1">
    <w:name w:val="xl83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5" w:customStyle="1">
    <w:name w:val="xl84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6" w:customStyle="1">
    <w:name w:val="xl85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7" w:customStyle="1">
    <w:name w:val="xl86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8" w:customStyle="1">
    <w:name w:val="xl87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9" w:customStyle="1">
    <w:name w:val="xl88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0" w:customStyle="1">
    <w:name w:val="xl89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90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91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92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4" w:customStyle="1">
    <w:name w:val="xl93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94"/>
    <w:basedOn w:val="67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95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96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7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8"/>
    <w:basedOn w:val="6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0" w:customStyle="1">
    <w:name w:val="xl99"/>
    <w:basedOn w:val="67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100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101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 w:customStyle="1">
    <w:name w:val="xl102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 w:customStyle="1">
    <w:name w:val="xl103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04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105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106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07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8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9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10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11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12"/>
    <w:basedOn w:val="67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34" w:customStyle="1">
    <w:name w:val="xl113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14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15"/>
    <w:basedOn w:val="67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37" w:customStyle="1">
    <w:name w:val="xl116"/>
    <w:basedOn w:val="67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7"/>
    <w:basedOn w:val="67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8"/>
    <w:basedOn w:val="67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9"/>
    <w:basedOn w:val="67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20"/>
    <w:basedOn w:val="67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2" w:customStyle="1">
    <w:name w:val="xl121"/>
    <w:basedOn w:val="67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3" w:customStyle="1">
    <w:name w:val="xl122"/>
    <w:basedOn w:val="67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23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5" w:customStyle="1">
    <w:name w:val="xl124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6" w:customStyle="1">
    <w:name w:val="xl125"/>
    <w:basedOn w:val="67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47" w:customStyle="1">
    <w:name w:val="Нет списка2"/>
    <w:next w:val="688"/>
    <w:uiPriority w:val="99"/>
    <w:semiHidden/>
    <w:unhideWhenUsed/>
  </w:style>
  <w:style w:type="numbering" w:styleId="948" w:customStyle="1">
    <w:name w:val="Нет списка3"/>
    <w:next w:val="688"/>
    <w:uiPriority w:val="99"/>
    <w:semiHidden/>
    <w:unhideWhenUsed/>
  </w:style>
  <w:style w:type="paragraph" w:styleId="949" w:customStyle="1">
    <w:name w:val="font6"/>
    <w:basedOn w:val="6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0" w:customStyle="1">
    <w:name w:val="font7"/>
    <w:basedOn w:val="6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1" w:customStyle="1">
    <w:name w:val="font8"/>
    <w:basedOn w:val="67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2" w:customStyle="1">
    <w:name w:val="Нет списка4"/>
    <w:next w:val="688"/>
    <w:uiPriority w:val="99"/>
    <w:semiHidden/>
    <w:unhideWhenUsed/>
  </w:style>
  <w:style w:type="paragraph" w:styleId="953">
    <w:name w:val="List Paragraph"/>
    <w:basedOn w:val="67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54" w:customStyle="1">
    <w:name w:val="Нижний колонтитул Знак"/>
    <w:link w:val="86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Relationship Id="rId12" Type="http://schemas.openxmlformats.org/officeDocument/2006/relationships/hyperlink" Target="http://www.gorodperm.ru" TargetMode="External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12</cp:revision>
  <dcterms:created xsi:type="dcterms:W3CDTF">2024-12-16T09:19:00Z</dcterms:created>
  <dcterms:modified xsi:type="dcterms:W3CDTF">2024-12-17T04:35:23Z</dcterms:modified>
</cp:coreProperties>
</file>