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rPr>
          <w:sz w:val="24"/>
        </w:rPr>
      </w:pP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1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5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1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4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4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64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4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размер нормативных затрат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содержание муниципального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имущества, уплату налогов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годов, утвержденный постановлением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>
        <w:rPr>
          <w:b/>
          <w:sz w:val="28"/>
          <w:szCs w:val="28"/>
        </w:rPr>
        <w:t xml:space="preserve">18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1075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размеров нормативных затрат на оказание муниципальных услуг по реализа</w:t>
      </w:r>
      <w:r>
        <w:rPr>
          <w:b/>
          <w:sz w:val="28"/>
          <w:szCs w:val="28"/>
        </w:rPr>
        <w:t xml:space="preserve">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 и нормативных затрат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содержание муниципального имущества, уплату налогов на 2024 год и плановый период 2025 и 2026 годов, значений натуральных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норм, используемых при определении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базовых нормативов затрат на оказание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униципальных услуг по реализации основных общеобразовательных программ начального общего образования, по реал</w:t>
      </w:r>
      <w:r>
        <w:rPr>
          <w:b/>
          <w:sz w:val="28"/>
          <w:szCs w:val="28"/>
        </w:rPr>
        <w:t xml:space="preserve">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образования, отраслевых корректирующих коэффициентов к базовому нормативу затрат на оказание муниципальной услуги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Cs/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 нормативных затрат на содержание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имущества, уплату налогов на 2024 год и плановый период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2025 и 2026 годов, утвержденный постановлением администрации города Перми </w:t>
      </w:r>
      <w:r>
        <w:rPr>
          <w:sz w:val="28"/>
          <w:szCs w:val="28"/>
        </w:rPr>
        <w:t xml:space="preserve">от 18 октя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</w:t>
      </w:r>
      <w:r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1075 «Об утверждении размеров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оказание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 по реализации основных общеобразовательных программ начального общего образования, по реализации основных общеобраз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вательных программ основного общего образования, по реализации основных общеобраз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вательных программ среднего общего образования и нормативных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затрат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муниципального имущества, уплату налогов на 2024 год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плановый период 2025 и 2026 годов, значений натуральных норм, используемых при определении базовых нормативов затрат на оказание </w:t>
      </w:r>
      <w:r>
        <w:rPr>
          <w:sz w:val="28"/>
          <w:szCs w:val="28"/>
        </w:rPr>
        <w:t xml:space="preserve">муниципальных услуг по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основных общеобразовательных программ начального общего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образования, отраслевых корректирующих коэффициентов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базовому нормативу затрат н</w:t>
      </w:r>
      <w:r>
        <w:rPr>
          <w:sz w:val="28"/>
          <w:szCs w:val="28"/>
        </w:rPr>
        <w:t xml:space="preserve">а оказание муниципальной услуги»</w:t>
      </w:r>
      <w:r>
        <w:rPr>
          <w:sz w:val="28"/>
          <w:szCs w:val="28"/>
        </w:rPr>
        <w:t xml:space="preserve"> (в ред. </w:t>
        <w:br w:type="textWrapping" w:clear="all"/>
      </w:r>
      <w:r>
        <w:rPr>
          <w:sz w:val="28"/>
          <w:szCs w:val="28"/>
        </w:rPr>
        <w:t xml:space="preserve">от 21.02.2024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11.04.2024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изложив </w:t>
      </w:r>
      <w:r>
        <w:rPr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3169"/>
        <w:gridCol w:w="2267"/>
        <w:gridCol w:w="2125"/>
        <w:gridCol w:w="2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pct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pct"/>
            <w:vAlign w:val="top"/>
            <w:textDirection w:val="lrTb"/>
            <w:noWrap w:val="false"/>
          </w:tcPr>
          <w:p>
            <w:pPr>
              <w:pStyle w:val="6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 на содержание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пального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pct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272 155 903,59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205 507 605,98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pct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205 507 605,98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действует по 31 декабря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64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Мальцеву Е.Д. </w:t>
      </w:r>
      <w:r>
        <w:rPr>
          <w:bCs/>
          <w:sz w:val="28"/>
          <w:szCs w:val="28"/>
        </w:rPr>
      </w:r>
    </w:p>
    <w:p>
      <w:pPr>
        <w:pStyle w:val="64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1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1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803050406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6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next w:val="641"/>
    <w:link w:val="641"/>
    <w:qFormat/>
    <w:rPr>
      <w:lang w:val="ru-RU" w:eastAsia="ru-RU" w:bidi="ar-SA"/>
    </w:rPr>
  </w:style>
  <w:style w:type="paragraph" w:styleId="642">
    <w:name w:val="Заголовок 1"/>
    <w:basedOn w:val="641"/>
    <w:next w:val="641"/>
    <w:link w:val="641"/>
    <w:qFormat/>
    <w:pPr>
      <w:ind w:right="-1" w:firstLine="709"/>
      <w:jc w:val="both"/>
      <w:keepNext/>
      <w:outlineLvl w:val="0"/>
    </w:pPr>
    <w:rPr>
      <w:sz w:val="24"/>
    </w:rPr>
  </w:style>
  <w:style w:type="paragraph" w:styleId="643">
    <w:name w:val="Заголовок 2"/>
    <w:basedOn w:val="641"/>
    <w:next w:val="641"/>
    <w:link w:val="641"/>
    <w:qFormat/>
    <w:pPr>
      <w:ind w:right="-1"/>
      <w:jc w:val="both"/>
      <w:keepNext/>
      <w:outlineLvl w:val="1"/>
    </w:pPr>
    <w:rPr>
      <w:sz w:val="24"/>
    </w:rPr>
  </w:style>
  <w:style w:type="character" w:styleId="644">
    <w:name w:val="Основной шрифт абзаца"/>
    <w:next w:val="644"/>
    <w:link w:val="641"/>
    <w:semiHidden/>
  </w:style>
  <w:style w:type="table" w:styleId="645">
    <w:name w:val="Обычная таблица"/>
    <w:next w:val="645"/>
    <w:link w:val="641"/>
    <w:semiHidden/>
    <w:tblPr/>
  </w:style>
  <w:style w:type="numbering" w:styleId="646">
    <w:name w:val="Нет списка"/>
    <w:next w:val="646"/>
    <w:link w:val="641"/>
    <w:semiHidden/>
  </w:style>
  <w:style w:type="paragraph" w:styleId="647">
    <w:name w:val="Название объекта"/>
    <w:basedOn w:val="641"/>
    <w:next w:val="641"/>
    <w:link w:val="64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48">
    <w:name w:val="Основной текст"/>
    <w:basedOn w:val="641"/>
    <w:next w:val="648"/>
    <w:link w:val="657"/>
    <w:pPr>
      <w:ind w:right="3117"/>
    </w:pPr>
    <w:rPr>
      <w:rFonts w:ascii="Courier New" w:hAnsi="Courier New"/>
      <w:sz w:val="26"/>
      <w:lang w:val="en-US" w:eastAsia="en-US"/>
    </w:rPr>
  </w:style>
  <w:style w:type="paragraph" w:styleId="649">
    <w:name w:val="Основной текст с отступом"/>
    <w:basedOn w:val="641"/>
    <w:next w:val="649"/>
    <w:link w:val="641"/>
    <w:pPr>
      <w:ind w:right="-1"/>
      <w:jc w:val="both"/>
    </w:pPr>
    <w:rPr>
      <w:sz w:val="26"/>
    </w:rPr>
  </w:style>
  <w:style w:type="paragraph" w:styleId="650">
    <w:name w:val="Нижний колонтитул"/>
    <w:basedOn w:val="641"/>
    <w:next w:val="650"/>
    <w:link w:val="661"/>
    <w:uiPriority w:val="99"/>
    <w:pPr>
      <w:tabs>
        <w:tab w:val="center" w:pos="4153" w:leader="none"/>
        <w:tab w:val="right" w:pos="8306" w:leader="none"/>
      </w:tabs>
    </w:pPr>
  </w:style>
  <w:style w:type="character" w:styleId="651">
    <w:name w:val="Номер страницы"/>
    <w:basedOn w:val="644"/>
    <w:next w:val="651"/>
    <w:link w:val="641"/>
  </w:style>
  <w:style w:type="paragraph" w:styleId="652">
    <w:name w:val="Верхний колонтитул"/>
    <w:basedOn w:val="641"/>
    <w:next w:val="652"/>
    <w:link w:val="655"/>
    <w:uiPriority w:val="99"/>
    <w:pPr>
      <w:tabs>
        <w:tab w:val="center" w:pos="4153" w:leader="none"/>
        <w:tab w:val="right" w:pos="8306" w:leader="none"/>
      </w:tabs>
    </w:pPr>
  </w:style>
  <w:style w:type="paragraph" w:styleId="653">
    <w:name w:val="Текст выноски"/>
    <w:basedOn w:val="641"/>
    <w:next w:val="653"/>
    <w:link w:val="654"/>
    <w:rPr>
      <w:rFonts w:ascii="Segoe UI" w:hAnsi="Segoe UI"/>
      <w:sz w:val="18"/>
      <w:szCs w:val="18"/>
      <w:lang w:val="en-US" w:eastAsia="en-US"/>
    </w:rPr>
  </w:style>
  <w:style w:type="character" w:styleId="654">
    <w:name w:val="Текст выноски Знак"/>
    <w:next w:val="654"/>
    <w:link w:val="653"/>
    <w:rPr>
      <w:rFonts w:ascii="Segoe UI" w:hAnsi="Segoe UI" w:cs="Segoe UI"/>
      <w:sz w:val="18"/>
      <w:szCs w:val="18"/>
    </w:rPr>
  </w:style>
  <w:style w:type="character" w:styleId="655">
    <w:name w:val="Верхний колонтитул Знак"/>
    <w:next w:val="655"/>
    <w:link w:val="652"/>
    <w:uiPriority w:val="99"/>
  </w:style>
  <w:style w:type="paragraph" w:styleId="656">
    <w:name w:val="Форма"/>
    <w:next w:val="656"/>
    <w:link w:val="641"/>
    <w:rPr>
      <w:sz w:val="28"/>
      <w:szCs w:val="28"/>
      <w:lang w:val="ru-RU" w:eastAsia="ru-RU" w:bidi="ar-SA"/>
    </w:rPr>
  </w:style>
  <w:style w:type="character" w:styleId="657">
    <w:name w:val="Основной текст Знак"/>
    <w:next w:val="657"/>
    <w:link w:val="648"/>
    <w:rPr>
      <w:rFonts w:ascii="Courier New" w:hAnsi="Courier New"/>
      <w:sz w:val="26"/>
    </w:rPr>
  </w:style>
  <w:style w:type="paragraph" w:styleId="658">
    <w:name w:val="ConsPlusTitle"/>
    <w:next w:val="658"/>
    <w:link w:val="641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659">
    <w:name w:val="Название"/>
    <w:basedOn w:val="641"/>
    <w:next w:val="641"/>
    <w:link w:val="66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660">
    <w:name w:val="Название Знак"/>
    <w:next w:val="660"/>
    <w:link w:val="659"/>
    <w:rPr>
      <w:rFonts w:ascii="Cambria" w:hAnsi="Cambria" w:eastAsia="Times New Roman" w:cs="Times New Roman"/>
      <w:b/>
      <w:bCs/>
      <w:sz w:val="32"/>
      <w:szCs w:val="32"/>
    </w:rPr>
  </w:style>
  <w:style w:type="character" w:styleId="661">
    <w:name w:val="Нижний колонтитул Знак"/>
    <w:basedOn w:val="644"/>
    <w:next w:val="661"/>
    <w:link w:val="650"/>
    <w:uiPriority w:val="99"/>
  </w:style>
  <w:style w:type="character" w:styleId="1073" w:default="1">
    <w:name w:val="Default Paragraph Font"/>
    <w:uiPriority w:val="1"/>
    <w:semiHidden/>
    <w:unhideWhenUsed/>
  </w:style>
  <w:style w:type="numbering" w:styleId="1074" w:default="1">
    <w:name w:val="No List"/>
    <w:uiPriority w:val="99"/>
    <w:semiHidden/>
    <w:unhideWhenUsed/>
  </w:style>
  <w:style w:type="table" w:styleId="10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2024-02-19T11:43:00Z</dcterms:created>
  <dcterms:modified xsi:type="dcterms:W3CDTF">2024-12-11T05:28:27Z</dcterms:modified>
  <cp:version>917504</cp:version>
</cp:coreProperties>
</file>