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внесении изменений в постановление администрации города Перми </w:t>
      </w:r>
      <w:r>
        <w:rPr>
          <w:b/>
          <w:bCs/>
          <w:sz w:val="28"/>
          <w:szCs w:val="28"/>
          <w:highlight w:val="white"/>
        </w:rPr>
        <w:br/>
        <w:t xml:space="preserve">от 21.12.2017 № 1171 «</w:t>
      </w:r>
      <w:hyperlink w:history="1">
        <w:r>
          <w:rPr>
            <w:b/>
            <w:bCs/>
            <w:sz w:val="28"/>
            <w:szCs w:val="28"/>
            <w:highlight w:val="white"/>
          </w:rPr>
          <w:t xml:space="preserve">Об утверждении Порядк</w:t>
        </w:r>
      </w:hyperlink>
      <w:r>
        <w:rPr>
          <w:b/>
          <w:bCs/>
          <w:sz w:val="28"/>
          <w:szCs w:val="28"/>
          <w:highlight w:val="white"/>
        </w:rPr>
        <w:t xml:space="preserve">а предоставления субсидии </w:t>
      </w:r>
      <w:r>
        <w:rPr>
          <w:b/>
          <w:bCs/>
          <w:sz w:val="28"/>
          <w:szCs w:val="28"/>
          <w:highlight w:val="white"/>
        </w:rPr>
        <w:br/>
        <w:t xml:space="preserve">общественным организациям, </w:t>
      </w:r>
      <w:r>
        <w:rPr>
          <w:b/>
          <w:bCs/>
          <w:sz w:val="28"/>
          <w:szCs w:val="28"/>
          <w:highlight w:val="white"/>
        </w:rPr>
        <w:br/>
        <w:t xml:space="preserve">внесенным в региональный реестр народных дружин и общественных </w:t>
      </w:r>
      <w:r>
        <w:rPr>
          <w:b/>
          <w:bCs/>
          <w:sz w:val="28"/>
          <w:szCs w:val="28"/>
          <w:highlight w:val="white"/>
        </w:rPr>
        <w:br/>
        <w:t xml:space="preserve">объединений правоохранительной направленности, на материальное </w:t>
      </w:r>
      <w:r>
        <w:rPr>
          <w:b/>
          <w:bCs/>
          <w:sz w:val="28"/>
          <w:szCs w:val="28"/>
          <w:highlight w:val="white"/>
        </w:rPr>
        <w:br/>
        <w:t xml:space="preserve">стимулирование деятельности </w:t>
      </w:r>
      <w:r>
        <w:rPr>
          <w:b/>
          <w:bCs/>
          <w:sz w:val="28"/>
          <w:szCs w:val="28"/>
          <w:highlight w:val="white"/>
        </w:rPr>
        <w:br/>
        <w:t xml:space="preserve">народных дружинников, действующим на территории города Перми, в целях возмещения затрат»</w:t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В соответствии со </w:t>
      </w:r>
      <w:hyperlink r:id="rId14" w:tooltip="https://login.consultant.ru/link/?req=doc&amp;base=LAW&amp;n=454091&amp;date=12.09.2024&amp;dst=103431&amp;field=134" w:history="1">
        <w:r>
          <w:rPr>
            <w:highlight w:val="white"/>
          </w:rPr>
          <w:t xml:space="preserve">статьями 78.1</w:t>
        </w:r>
      </w:hyperlink>
      <w:r>
        <w:rPr>
          <w:highlight w:val="white"/>
        </w:rPr>
        <w:t xml:space="preserve">, 78.5, 139 Бюджетного кодекса Российской Федерации, Федеральными законами от 06 октября 2003 г. №</w:t>
      </w:r>
      <w:hyperlink r:id="rId15" w:tooltip="https://login.consultant.ru/link/?req=doc&amp;base=LAW&amp;n=454007&amp;date=12.09.2024" w:history="1">
        <w:r>
          <w:rPr>
            <w:highlight w:val="white"/>
          </w:rPr>
          <w:t xml:space="preserve"> 131-ФЗ</w:t>
        </w:r>
      </w:hyperlink>
      <w:r>
        <w:rPr>
          <w:highlight w:val="white"/>
        </w:rPr>
        <w:t xml:space="preserve"> «Об общих принципах организации местного самоуправления в Российской Федерации», </w:t>
      </w:r>
      <w:r>
        <w:rPr>
          <w:highlight w:val="white"/>
        </w:rPr>
        <w:br/>
      </w:r>
      <w:r>
        <w:rPr>
          <w:highlight w:val="white"/>
        </w:rPr>
        <w:t xml:space="preserve">от 02 апреля 2014 г. </w:t>
      </w:r>
      <w:hyperlink r:id="rId16" w:tooltip="https://login.consultant.ru/link/?req=doc&amp;base=LAW&amp;n=436364&amp;date=12.09.2024" w:history="1">
        <w:r>
          <w:rPr>
            <w:highlight w:val="white"/>
          </w:rPr>
          <w:t xml:space="preserve">№</w:t>
        </w:r>
      </w:hyperlink>
      <w:r>
        <w:rPr>
          <w:highlight w:val="white"/>
        </w:rPr>
        <w:t xml:space="preserve"> 44-ФЗ «Об участии граждан в охране общественного порядка», </w:t>
      </w:r>
      <w:hyperlink r:id="rId17" w:tooltip="https://login.consultant.ru/link/?req=doc&amp;base=LAW&amp;n=435381&amp;date=12.09.2024" w:history="1">
        <w:r>
          <w:rPr>
            <w:highlight w:val="white"/>
          </w:rPr>
          <w:t xml:space="preserve">постановлением</w:t>
        </w:r>
      </w:hyperlink>
      <w:r>
        <w:rPr>
          <w:highlight w:val="white"/>
        </w:rPr>
        <w:t xml:space="preserve"> Правительства Российской Федерации от 25 октября </w:t>
      </w:r>
      <w:r>
        <w:rPr>
          <w:highlight w:val="white"/>
        </w:rPr>
        <w:br/>
        <w:t xml:space="preserve">2023 г. № 1782 «Об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highlight w:val="white"/>
        </w:rPr>
        <w:br/>
        <w:t xml:space="preserve">из бюджетов субъектов Российской Федерации, местных бюджетов субсидий, </w:t>
      </w:r>
      <w:r>
        <w:rPr>
          <w:highlight w:val="white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</w:t>
      </w:r>
      <w:hyperlink r:id="rId18" w:tooltip="https://login.consultant.ru/link/?req=doc&amp;base=RLAW368&amp;n=183799&amp;date=12.09.2024&amp;dst=100022&amp;field=134" w:history="1">
        <w:r>
          <w:rPr>
            <w:highlight w:val="white"/>
          </w:rPr>
          <w:t xml:space="preserve">Законом Пермского края от 09 июля 2015 г. № 511-ПК </w:t>
        </w:r>
        <w:r>
          <w:rPr>
            <w:highlight w:val="white"/>
          </w:rPr>
          <w:br/>
        </w:r>
        <w:r>
          <w:rPr>
            <w:highlight w:val="white"/>
          </w:rPr>
          <w:t xml:space="preserve">«Об отдельных вопросах участия граждан в </w:t>
        </w:r>
        <w:r>
          <w:rPr>
            <w:highlight w:val="white"/>
          </w:rPr>
          <w:t xml:space="preserve">охране общественного порядка на территории Пермского края», Порядком предоставления и расходования субсидии из бюджета Пермского края бюджетам муниципальных образований Пермского края на выплату материального стимулирования народным дружинникам за участие </w:t>
        </w:r>
        <w:r>
          <w:rPr>
            <w:highlight w:val="white"/>
          </w:rPr>
          <w:br/>
        </w:r>
        <w:r>
          <w:rPr>
            <w:highlight w:val="white"/>
          </w:rPr>
          <w:t xml:space="preserve">в мероприятиях по охране общественного порядка, утвержденным постановлением Правительства Пермского края от 18 октября 2017 г. № 870-п, Уставом</w:t>
        </w:r>
      </w:hyperlink>
      <w:r>
        <w:rPr>
          <w:highlight w:val="white"/>
        </w:rPr>
        <w:t xml:space="preserve"> города Перми</w:t>
      </w:r>
      <w:r>
        <w:rPr>
          <w:highlight w:val="white"/>
        </w:rPr>
      </w:r>
    </w:p>
    <w:p>
      <w:pPr>
        <w:pStyle w:val="938"/>
        <w:jc w:val="both"/>
        <w:rPr>
          <w:highlight w:val="white"/>
        </w:rPr>
      </w:pPr>
      <w:r>
        <w:rPr>
          <w:highlight w:val="white"/>
        </w:rPr>
        <w:t xml:space="preserve">администрация города Перми </w:t>
      </w:r>
      <w:r>
        <w:rPr>
          <w:caps/>
          <w:highlight w:val="white"/>
        </w:rPr>
        <w:t xml:space="preserve">постановляет</w:t>
      </w:r>
      <w:r>
        <w:rPr>
          <w:highlight w:val="white"/>
        </w:rPr>
        <w:t xml:space="preserve">:</w:t>
      </w:r>
      <w:r>
        <w:rPr>
          <w:highlight w:val="white"/>
        </w:rPr>
      </w:r>
    </w:p>
    <w:p>
      <w:pPr>
        <w:pStyle w:val="938"/>
        <w:ind w:firstLine="709"/>
        <w:jc w:val="both"/>
        <w:rPr>
          <w:sz w:val="24"/>
          <w:highlight w:val="white"/>
        </w:rPr>
      </w:pPr>
      <w:r>
        <w:rPr>
          <w:highlight w:val="white"/>
        </w:rPr>
        <w:t xml:space="preserve">1. Внести изменения в постановление администрации города Перми </w:t>
      </w:r>
      <w:r>
        <w:rPr>
          <w:highlight w:val="white"/>
        </w:rPr>
        <w:br/>
        <w:t xml:space="preserve">от 21 декабря 2017 г. № 1171 «</w:t>
      </w:r>
      <w:hyperlink w:history="1">
        <w:r>
          <w:rPr>
            <w:highlight w:val="white"/>
          </w:rPr>
          <w:t xml:space="preserve">Об утверждении Порядк</w:t>
        </w:r>
      </w:hyperlink>
      <w:r>
        <w:rPr>
          <w:highlight w:val="white"/>
        </w:rPr>
        <w:t xml:space="preserve">а предоставления субсидии общественным организациям, внесенным</w:t>
      </w:r>
      <w:r>
        <w:rPr>
          <w:highlight w:val="white"/>
        </w:rPr>
        <w:t xml:space="preserve">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затрат» (в ред. от 27.11.2018 </w:t>
      </w:r>
      <w:r>
        <w:rPr>
          <w:highlight w:val="white"/>
        </w:rPr>
        <w:br/>
      </w:r>
      <w:r>
        <w:rPr>
          <w:highlight w:val="white"/>
        </w:rPr>
        <w:t xml:space="preserve">№</w:t>
      </w:r>
      <w:hyperlink r:id="rId19" w:tooltip="https://login.consultant.ru/link/?req=doc&amp;base=RLAW368&amp;n=120031&amp;date=27.09.2024&amp;dst=100005&amp;field=134" w:history="1">
        <w:r>
          <w:rPr>
            <w:highlight w:val="white"/>
          </w:rPr>
          <w:t xml:space="preserve"> 926</w:t>
        </w:r>
      </w:hyperlink>
      <w:r>
        <w:rPr>
          <w:highlight w:val="white"/>
        </w:rPr>
        <w:t xml:space="preserve">, от 23.07.2019 №</w:t>
      </w:r>
      <w:hyperlink r:id="rId20" w:tooltip="https://login.consultant.ru/link/?req=doc&amp;base=RLAW368&amp;n=128497&amp;date=27.09.2024&amp;dst=100005&amp;field=134" w:history="1">
        <w:r>
          <w:rPr>
            <w:highlight w:val="white"/>
          </w:rPr>
          <w:t xml:space="preserve"> 415</w:t>
        </w:r>
      </w:hyperlink>
      <w:r>
        <w:rPr>
          <w:highlight w:val="white"/>
        </w:rPr>
        <w:t xml:space="preserve">, от 13.09.2019 №</w:t>
      </w:r>
      <w:hyperlink r:id="rId21" w:tooltip="https://login.consultant.ru/link/?req=doc&amp;base=RLAW368&amp;n=130172&amp;date=27.09.2024&amp;dst=100005&amp;field=134" w:history="1">
        <w:r>
          <w:rPr>
            <w:highlight w:val="white"/>
          </w:rPr>
          <w:t xml:space="preserve"> 560</w:t>
        </w:r>
      </w:hyperlink>
      <w:r>
        <w:rPr>
          <w:highlight w:val="white"/>
        </w:rPr>
        <w:t xml:space="preserve">, от 13.12.2019 №</w:t>
      </w:r>
      <w:hyperlink r:id="rId22" w:tooltip="https://login.consultant.ru/link/?req=doc&amp;base=RLAW368&amp;n=133665&amp;date=27.09.2024&amp;dst=100005&amp;field=134" w:history="1">
        <w:r>
          <w:rPr>
            <w:highlight w:val="white"/>
          </w:rPr>
          <w:t xml:space="preserve"> 1015</w:t>
        </w:r>
      </w:hyperlink>
      <w:r>
        <w:rPr>
          <w:highlight w:val="white"/>
        </w:rPr>
        <w:t xml:space="preserve">, </w:t>
      </w:r>
      <w:r>
        <w:rPr>
          <w:highlight w:val="white"/>
        </w:rPr>
        <w:br/>
      </w:r>
      <w:r>
        <w:rPr>
          <w:highlight w:val="white"/>
        </w:rPr>
        <w:t xml:space="preserve">от 16.09.2020 №</w:t>
      </w:r>
      <w:hyperlink r:id="rId23" w:tooltip="https://login.consultant.ru/link/?req=doc&amp;base=RLAW368&amp;n=143614&amp;date=27.09.2024&amp;dst=100005&amp;field=134" w:history="1">
        <w:r>
          <w:rPr>
            <w:highlight w:val="white"/>
          </w:rPr>
          <w:t xml:space="preserve"> 847</w:t>
        </w:r>
      </w:hyperlink>
      <w:r>
        <w:rPr>
          <w:highlight w:val="white"/>
        </w:rPr>
        <w:t xml:space="preserve">, от 24.12.2020 №</w:t>
      </w:r>
      <w:hyperlink r:id="rId24" w:tooltip="https://login.consultant.ru/link/?req=doc&amp;base=RLAW368&amp;n=147751&amp;date=27.09.2024&amp;dst=100005&amp;field=134" w:history="1">
        <w:r>
          <w:rPr>
            <w:highlight w:val="white"/>
          </w:rPr>
          <w:t xml:space="preserve"> 1316</w:t>
        </w:r>
      </w:hyperlink>
      <w:r>
        <w:rPr>
          <w:highlight w:val="white"/>
        </w:rPr>
        <w:t xml:space="preserve">, от 01.06.2021 №</w:t>
      </w:r>
      <w:hyperlink r:id="rId25" w:tooltip="https://login.consultant.ru/link/?req=doc&amp;base=RLAW368&amp;n=153202&amp;date=27.09.2024&amp;dst=100005&amp;field=134" w:history="1">
        <w:r>
          <w:rPr>
            <w:highlight w:val="white"/>
          </w:rPr>
          <w:t xml:space="preserve"> 392</w:t>
        </w:r>
      </w:hyperlink>
      <w:r>
        <w:rPr>
          <w:highlight w:val="white"/>
        </w:rPr>
        <w:t xml:space="preserve">, от 22.09.2021 </w:t>
      </w:r>
      <w:r>
        <w:rPr>
          <w:highlight w:val="white"/>
        </w:rPr>
        <w:br/>
      </w:r>
      <w:r>
        <w:rPr>
          <w:highlight w:val="white"/>
        </w:rPr>
        <w:t xml:space="preserve">№</w:t>
      </w:r>
      <w:hyperlink r:id="rId26" w:tooltip="https://login.consultant.ru/link/?req=doc&amp;base=RLAW368&amp;n=157114&amp;date=27.09.2024&amp;dst=100005&amp;field=134" w:history="1">
        <w:r>
          <w:rPr>
            <w:highlight w:val="white"/>
          </w:rPr>
          <w:t xml:space="preserve"> 737</w:t>
        </w:r>
      </w:hyperlink>
      <w:r>
        <w:rPr>
          <w:highlight w:val="white"/>
        </w:rPr>
        <w:t xml:space="preserve">, от 28.10.2021 №</w:t>
      </w:r>
      <w:hyperlink r:id="rId27" w:tooltip="https://login.consultant.ru/link/?req=doc&amp;base=RLAW368&amp;n=158533&amp;date=27.09.2024&amp;dst=100005&amp;field=134" w:history="1">
        <w:r>
          <w:rPr>
            <w:highlight w:val="white"/>
          </w:rPr>
          <w:t xml:space="preserve"> 949</w:t>
        </w:r>
      </w:hyperlink>
      <w:r>
        <w:rPr>
          <w:highlight w:val="white"/>
        </w:rPr>
        <w:t xml:space="preserve">, от 25.07.2022 №</w:t>
      </w:r>
      <w:hyperlink r:id="rId28" w:tooltip="https://login.consultant.ru/link/?req=doc&amp;base=RLAW368&amp;n=169269&amp;date=27.09.2024&amp;dst=100005&amp;field=134" w:history="1">
        <w:r>
          <w:rPr>
            <w:highlight w:val="white"/>
          </w:rPr>
          <w:t xml:space="preserve"> 628</w:t>
        </w:r>
      </w:hyperlink>
      <w:r>
        <w:rPr>
          <w:highlight w:val="white"/>
        </w:rPr>
        <w:t xml:space="preserve">, от 19.10.2022 №</w:t>
      </w:r>
      <w:hyperlink r:id="rId29" w:tooltip="https://login.consultant.ru/link/?req=doc&amp;base=RLAW368&amp;n=172170&amp;date=27.09.2024&amp;dst=100005&amp;field=134" w:history="1">
        <w:r>
          <w:rPr>
            <w:highlight w:val="white"/>
          </w:rPr>
          <w:t xml:space="preserve"> 982</w:t>
        </w:r>
      </w:hyperlink>
      <w:r>
        <w:rPr>
          <w:highlight w:val="white"/>
        </w:rPr>
        <w:t xml:space="preserve">, </w:t>
      </w:r>
      <w:r>
        <w:rPr>
          <w:highlight w:val="white"/>
        </w:rPr>
        <w:br/>
      </w:r>
      <w:r>
        <w:rPr>
          <w:highlight w:val="white"/>
        </w:rPr>
        <w:t xml:space="preserve">от 21.02.2023 №</w:t>
      </w:r>
      <w:hyperlink r:id="rId30" w:tooltip="https://login.consultant.ru/link/?req=doc&amp;base=RLAW368&amp;n=177443&amp;date=27.09.2024&amp;dst=100005&amp;field=134" w:history="1">
        <w:r>
          <w:rPr>
            <w:highlight w:val="white"/>
          </w:rPr>
          <w:t xml:space="preserve"> 131</w:t>
        </w:r>
      </w:hyperlink>
      <w:r>
        <w:rPr>
          <w:highlight w:val="white"/>
        </w:rPr>
        <w:t xml:space="preserve">, от 03.10.2023 №</w:t>
      </w:r>
      <w:hyperlink r:id="rId31" w:tooltip="https://login.consultant.ru/link/?req=doc&amp;base=RLAW368&amp;n=185615&amp;date=27.09.2024&amp;dst=100005&amp;field=134" w:history="1">
        <w:r>
          <w:rPr>
            <w:highlight w:val="white"/>
          </w:rPr>
          <w:t xml:space="preserve"> 941</w:t>
        </w:r>
      </w:hyperlink>
      <w:r>
        <w:rPr>
          <w:highlight w:val="white"/>
        </w:rPr>
        <w:t xml:space="preserve">, от 13.10.2023 №</w:t>
      </w:r>
      <w:hyperlink r:id="rId32" w:tooltip="https://login.consultant.ru/link/?req=doc&amp;base=RLAW368&amp;n=186261&amp;date=27.09.2024&amp;dst=100005&amp;field=134" w:history="1">
        <w:r>
          <w:rPr>
            <w:highlight w:val="white"/>
          </w:rPr>
          <w:t xml:space="preserve"> 998</w:t>
        </w:r>
      </w:hyperlink>
      <w:r>
        <w:rPr>
          <w:highlight w:val="white"/>
        </w:rPr>
        <w:t xml:space="preserve">, от 15.11.2023 </w:t>
      </w:r>
      <w:r>
        <w:rPr>
          <w:highlight w:val="white"/>
        </w:rPr>
        <w:br/>
      </w:r>
      <w:r>
        <w:rPr>
          <w:highlight w:val="white"/>
        </w:rPr>
        <w:t xml:space="preserve">№</w:t>
      </w:r>
      <w:hyperlink r:id="rId33" w:tooltip="https://login.consultant.ru/link/?req=doc&amp;base=RLAW368&amp;n=187664&amp;date=27.09.2024&amp;dst=100005&amp;field=134" w:history="1">
        <w:r>
          <w:rPr>
            <w:highlight w:val="white"/>
          </w:rPr>
          <w:t xml:space="preserve"> 1257</w:t>
        </w:r>
      </w:hyperlink>
      <w:r>
        <w:rPr>
          <w:highlight w:val="white"/>
        </w:rPr>
        <w:t xml:space="preserve">), заменив в преамбуле слова</w:t>
      </w:r>
      <w:r>
        <w:rPr>
          <w:sz w:val="24"/>
          <w:highlight w:val="white"/>
        </w:rPr>
        <w:t xml:space="preserve"> </w:t>
      </w:r>
      <w:r>
        <w:rPr>
          <w:highlight w:val="white"/>
        </w:rPr>
        <w:t xml:space="preserve">«со статьями 78.1, 139» словами «со статьями 78.1, 78.5, 139», слова «от 18 сентября 2020 г. № 1492 «Об общих требованиях </w:t>
      </w:r>
      <w:r>
        <w:rPr>
          <w:highlight w:val="white"/>
        </w:rPr>
        <w:br/>
      </w:r>
      <w:r>
        <w:rPr>
          <w:highlight w:val="white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</w:t>
      </w:r>
      <w:r>
        <w:rPr>
          <w:highlight w:val="white"/>
        </w:rPr>
        <w:t xml:space="preserve">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словами «от 25 октября 2023 г. № 1782 </w:t>
      </w:r>
      <w:r>
        <w:rPr>
          <w:highlight w:val="white"/>
        </w:rPr>
        <w:br/>
      </w:r>
      <w:r>
        <w:rPr>
          <w:highlight w:val="white"/>
        </w:rPr>
        <w:t xml:space="preserve">«Об утверждении общих требований к нормативным правовым актам, муниципальным правовым актам, регулирующим пред</w:t>
      </w:r>
      <w:r>
        <w:rPr>
          <w:highlight w:val="white"/>
        </w:rPr>
        <w:t xml:space="preserve">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</w:t>
      </w:r>
      <w:r>
        <w:rPr>
          <w:highlight w:val="white"/>
        </w:rPr>
        <w:t xml:space="preserve">в получателей указанных субсидий, в том числе грантов в форме субсидий», слова «субсидий из бюджета Пермского края бюджетам городских (сельских) поселений и городских округов» словами «субсидии из бюджета Пермского края бюджетам муниципальных образований».</w:t>
      </w:r>
      <w:r>
        <w:rPr>
          <w:sz w:val="24"/>
          <w:highlight w:val="white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Утвердить прилагаемые изменения в Порядок предоставления субсидии общественным организациям, внесенным в региональный реестр народных дружин и общественных объединений прав</w:t>
      </w:r>
      <w:r>
        <w:rPr>
          <w:sz w:val="28"/>
          <w:szCs w:val="28"/>
          <w:highlight w:val="white"/>
        </w:rPr>
        <w:t xml:space="preserve">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затрат, утвержденный постановлением администрации города Перми от 21 декабря 2017 г. № 1171 (в ред.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27.11.2018 №</w:t>
      </w:r>
      <w:hyperlink r:id="rId34" w:tooltip="https://login.consultant.ru/link/?req=doc&amp;base=RLAW368&amp;n=120031&amp;date=27.09.2024&amp;dst=100005&amp;field=134" w:history="1">
        <w:r>
          <w:rPr>
            <w:sz w:val="28"/>
            <w:szCs w:val="28"/>
            <w:highlight w:val="white"/>
          </w:rPr>
          <w:t xml:space="preserve"> 926</w:t>
        </w:r>
      </w:hyperlink>
      <w:r>
        <w:rPr>
          <w:sz w:val="28"/>
          <w:szCs w:val="28"/>
          <w:highlight w:val="white"/>
        </w:rPr>
        <w:t xml:space="preserve">, от 23.07.2019 №</w:t>
      </w:r>
      <w:hyperlink r:id="rId35" w:tooltip="https://login.consultant.ru/link/?req=doc&amp;base=RLAW368&amp;n=128497&amp;date=27.09.2024&amp;dst=100005&amp;field=134" w:history="1">
        <w:r>
          <w:rPr>
            <w:sz w:val="28"/>
            <w:szCs w:val="28"/>
            <w:highlight w:val="white"/>
          </w:rPr>
          <w:t xml:space="preserve"> 415</w:t>
        </w:r>
      </w:hyperlink>
      <w:r>
        <w:rPr>
          <w:sz w:val="28"/>
          <w:szCs w:val="28"/>
          <w:highlight w:val="white"/>
        </w:rPr>
        <w:t xml:space="preserve">, от 13.09.2019 №</w:t>
      </w:r>
      <w:hyperlink r:id="rId36" w:tooltip="https://login.consultant.ru/link/?req=doc&amp;base=RLAW368&amp;n=130172&amp;date=27.09.2024&amp;dst=100005&amp;field=134" w:history="1">
        <w:r>
          <w:rPr>
            <w:sz w:val="28"/>
            <w:szCs w:val="28"/>
            <w:highlight w:val="white"/>
          </w:rPr>
          <w:t xml:space="preserve"> 560</w:t>
        </w:r>
      </w:hyperlink>
      <w:r>
        <w:rPr>
          <w:sz w:val="28"/>
          <w:szCs w:val="28"/>
          <w:highlight w:val="white"/>
        </w:rPr>
        <w:t xml:space="preserve">, от 13.12.2019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</w:t>
      </w:r>
      <w:hyperlink r:id="rId37" w:tooltip="https://login.consultant.ru/link/?req=doc&amp;base=RLAW368&amp;n=133665&amp;date=27.09.2024&amp;dst=100005&amp;field=134" w:history="1">
        <w:r>
          <w:rPr>
            <w:sz w:val="28"/>
            <w:szCs w:val="28"/>
            <w:highlight w:val="white"/>
          </w:rPr>
          <w:t xml:space="preserve"> 1015</w:t>
        </w:r>
      </w:hyperlink>
      <w:r>
        <w:rPr>
          <w:sz w:val="28"/>
          <w:szCs w:val="28"/>
          <w:highlight w:val="white"/>
        </w:rPr>
        <w:t xml:space="preserve">, от 16.09.2020 №</w:t>
      </w:r>
      <w:hyperlink r:id="rId38" w:tooltip="https://login.consultant.ru/link/?req=doc&amp;base=RLAW368&amp;n=143614&amp;date=27.09.2024&amp;dst=100005&amp;field=134" w:history="1">
        <w:r>
          <w:rPr>
            <w:sz w:val="28"/>
            <w:szCs w:val="28"/>
            <w:highlight w:val="white"/>
          </w:rPr>
          <w:t xml:space="preserve"> 847</w:t>
        </w:r>
      </w:hyperlink>
      <w:r>
        <w:rPr>
          <w:sz w:val="28"/>
          <w:szCs w:val="28"/>
          <w:highlight w:val="white"/>
        </w:rPr>
        <w:t xml:space="preserve">, от 24.12.2020 №</w:t>
      </w:r>
      <w:hyperlink r:id="rId39" w:tooltip="https://login.consultant.ru/link/?req=doc&amp;base=RLAW368&amp;n=147751&amp;date=27.09.2024&amp;dst=100005&amp;field=134" w:history="1">
        <w:r>
          <w:rPr>
            <w:sz w:val="28"/>
            <w:szCs w:val="28"/>
            <w:highlight w:val="white"/>
          </w:rPr>
          <w:t xml:space="preserve"> 1316</w:t>
        </w:r>
      </w:hyperlink>
      <w:r>
        <w:rPr>
          <w:sz w:val="28"/>
          <w:szCs w:val="28"/>
          <w:highlight w:val="white"/>
        </w:rPr>
        <w:t xml:space="preserve">, от 01.06.2021 №</w:t>
      </w:r>
      <w:hyperlink r:id="rId40" w:tooltip="https://login.consultant.ru/link/?req=doc&amp;base=RLAW368&amp;n=153202&amp;date=27.09.2024&amp;dst=100005&amp;field=134" w:history="1">
        <w:r>
          <w:rPr>
            <w:sz w:val="28"/>
            <w:szCs w:val="28"/>
            <w:highlight w:val="white"/>
          </w:rPr>
          <w:t xml:space="preserve"> 392</w:t>
        </w:r>
      </w:hyperlink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22.09.2021 №</w:t>
      </w:r>
      <w:hyperlink r:id="rId41" w:tooltip="https://login.consultant.ru/link/?req=doc&amp;base=RLAW368&amp;n=157114&amp;date=27.09.2024&amp;dst=100005&amp;field=134" w:history="1">
        <w:r>
          <w:rPr>
            <w:sz w:val="28"/>
            <w:szCs w:val="28"/>
            <w:highlight w:val="white"/>
          </w:rPr>
          <w:t xml:space="preserve"> 737</w:t>
        </w:r>
      </w:hyperlink>
      <w:r>
        <w:rPr>
          <w:sz w:val="28"/>
          <w:szCs w:val="28"/>
          <w:highlight w:val="white"/>
        </w:rPr>
        <w:t xml:space="preserve">, от 28.10.2021 №</w:t>
      </w:r>
      <w:hyperlink r:id="rId42" w:tooltip="https://login.consultant.ru/link/?req=doc&amp;base=RLAW368&amp;n=158533&amp;date=27.09.2024&amp;dst=100005&amp;field=134" w:history="1">
        <w:r>
          <w:rPr>
            <w:sz w:val="28"/>
            <w:szCs w:val="28"/>
            <w:highlight w:val="white"/>
          </w:rPr>
          <w:t xml:space="preserve"> 949</w:t>
        </w:r>
      </w:hyperlink>
      <w:r>
        <w:rPr>
          <w:sz w:val="28"/>
          <w:szCs w:val="28"/>
          <w:highlight w:val="white"/>
        </w:rPr>
        <w:t xml:space="preserve">, от 25.07.2022 №</w:t>
      </w:r>
      <w:hyperlink r:id="rId43" w:tooltip="https://login.consultant.ru/link/?req=doc&amp;base=RLAW368&amp;n=169269&amp;date=27.09.2024&amp;dst=100005&amp;field=134" w:history="1">
        <w:r>
          <w:rPr>
            <w:sz w:val="28"/>
            <w:szCs w:val="28"/>
            <w:highlight w:val="white"/>
          </w:rPr>
          <w:t xml:space="preserve"> 628</w:t>
        </w:r>
      </w:hyperlink>
      <w:r>
        <w:rPr>
          <w:sz w:val="28"/>
          <w:szCs w:val="28"/>
          <w:highlight w:val="white"/>
        </w:rPr>
        <w:t xml:space="preserve">, от 19.10.2022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</w:t>
      </w:r>
      <w:hyperlink r:id="rId44" w:tooltip="https://login.consultant.ru/link/?req=doc&amp;base=RLAW368&amp;n=172170&amp;date=27.09.2024&amp;dst=100005&amp;field=134" w:history="1">
        <w:r>
          <w:rPr>
            <w:sz w:val="28"/>
            <w:szCs w:val="28"/>
            <w:highlight w:val="white"/>
          </w:rPr>
          <w:t xml:space="preserve"> 982</w:t>
        </w:r>
      </w:hyperlink>
      <w:r>
        <w:rPr>
          <w:sz w:val="28"/>
          <w:szCs w:val="28"/>
          <w:highlight w:val="white"/>
        </w:rPr>
        <w:t xml:space="preserve">, от 21.02.2023 №</w:t>
      </w:r>
      <w:hyperlink r:id="rId45" w:tooltip="https://login.consultant.ru/link/?req=doc&amp;base=RLAW368&amp;n=177443&amp;date=27.09.2024&amp;dst=100005&amp;field=134" w:history="1">
        <w:r>
          <w:rPr>
            <w:sz w:val="28"/>
            <w:szCs w:val="28"/>
            <w:highlight w:val="white"/>
          </w:rPr>
          <w:t xml:space="preserve"> 131</w:t>
        </w:r>
      </w:hyperlink>
      <w:r>
        <w:rPr>
          <w:sz w:val="28"/>
          <w:szCs w:val="28"/>
          <w:highlight w:val="white"/>
        </w:rPr>
        <w:t xml:space="preserve">, от 03.10.2023 №</w:t>
      </w:r>
      <w:hyperlink r:id="rId46" w:tooltip="https://login.consultant.ru/link/?req=doc&amp;base=RLAW368&amp;n=185615&amp;date=27.09.2024&amp;dst=100005&amp;field=134" w:history="1">
        <w:r>
          <w:rPr>
            <w:sz w:val="28"/>
            <w:szCs w:val="28"/>
            <w:highlight w:val="white"/>
          </w:rPr>
          <w:t xml:space="preserve"> 941</w:t>
        </w:r>
      </w:hyperlink>
      <w:r>
        <w:rPr>
          <w:sz w:val="28"/>
          <w:szCs w:val="28"/>
          <w:highlight w:val="white"/>
        </w:rPr>
        <w:t xml:space="preserve">, от 13.10.2023 №</w:t>
      </w:r>
      <w:hyperlink r:id="rId47" w:tooltip="https://login.consultant.ru/link/?req=doc&amp;base=RLAW368&amp;n=186261&amp;date=27.09.2024&amp;dst=100005&amp;field=134" w:history="1">
        <w:r>
          <w:rPr>
            <w:sz w:val="28"/>
            <w:szCs w:val="28"/>
            <w:highlight w:val="white"/>
          </w:rPr>
          <w:t xml:space="preserve"> 998</w:t>
        </w:r>
      </w:hyperlink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15.11.2023 №</w:t>
      </w:r>
      <w:hyperlink r:id="rId48" w:tooltip="https://login.consultant.ru/link/?req=doc&amp;base=RLAW368&amp;n=187664&amp;date=27.09.2024&amp;dst=100005&amp;field=134" w:history="1">
        <w:r>
          <w:rPr>
            <w:sz w:val="28"/>
            <w:szCs w:val="28"/>
            <w:highlight w:val="white"/>
          </w:rPr>
          <w:t xml:space="preserve"> 1257</w:t>
        </w:r>
      </w:hyperlink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</w:t>
      </w:r>
      <w:r>
        <w:rPr>
          <w:sz w:val="28"/>
          <w:szCs w:val="28"/>
          <w:highlight w:val="white"/>
          <w:lang w:eastAsia="zh-CN"/>
        </w:rPr>
        <w:t xml:space="preserve">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  <w:highlight w:val="white"/>
          <w:lang w:eastAsia="zh-CN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4. Управлению по общим вопро</w:t>
      </w:r>
      <w:r>
        <w:rPr>
          <w:sz w:val="28"/>
          <w:szCs w:val="28"/>
          <w:highlight w:val="white"/>
          <w:lang w:eastAsia="zh-CN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  <w:highlight w:val="white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49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white"/>
            <w:lang w:eastAsia="zh-CN"/>
          </w:rPr>
          <w:t xml:space="preserve">www.gorodperm.ru</w:t>
        </w:r>
      </w:hyperlink>
      <w:r>
        <w:rPr>
          <w:sz w:val="28"/>
          <w:szCs w:val="28"/>
          <w:highlight w:val="white"/>
          <w:lang w:eastAsia="zh-CN"/>
        </w:rPr>
        <w:t xml:space="preserve">». </w:t>
      </w:r>
      <w:r>
        <w:rPr>
          <w:sz w:val="28"/>
          <w:szCs w:val="28"/>
          <w:highlight w:val="white"/>
        </w:rPr>
      </w:r>
    </w:p>
    <w:p>
      <w:pPr>
        <w:pStyle w:val="99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zh-CN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  <w:highlight w:val="white"/>
          <w:lang w:eastAsia="zh-CN"/>
        </w:rPr>
        <w:br/>
        <w:t xml:space="preserve">на заместителя главы администрации города Перми Турова А.М. </w:t>
      </w:r>
      <w:r>
        <w:rPr>
          <w:sz w:val="28"/>
          <w:szCs w:val="28"/>
          <w:highlight w:val="white"/>
        </w:rPr>
      </w:r>
    </w:p>
    <w:p>
      <w:pPr>
        <w:pStyle w:val="938"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jc w:val="both"/>
        <w:spacing w:line="240" w:lineRule="exact"/>
        <w:rPr>
          <w:highlight w:val="white"/>
        </w:rPr>
      </w:pPr>
      <w:r>
        <w:rPr>
          <w:highlight w:val="white"/>
        </w:rPr>
        <w:t xml:space="preserve">Глава города Перми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   Э.О. Соснин</w:t>
      </w:r>
      <w:r>
        <w:rPr>
          <w:highlight w:val="white"/>
        </w:rPr>
      </w:r>
    </w:p>
    <w:p>
      <w:pPr>
        <w:pStyle w:val="93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 w:val="24"/>
          <w:szCs w:val="24"/>
          <w:highlight w:val="whit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38"/>
        <w:ind w:left="5670"/>
        <w:jc w:val="both"/>
        <w:spacing w:line="240" w:lineRule="exact"/>
        <w:rPr>
          <w:caps/>
          <w:highlight w:val="white"/>
        </w:rPr>
      </w:pPr>
      <w:r>
        <w:rPr>
          <w:caps/>
          <w:highlight w:val="white"/>
        </w:rPr>
        <w:t xml:space="preserve">Утверждены</w:t>
      </w:r>
      <w:r>
        <w:rPr>
          <w:caps/>
          <w:highlight w:val="white"/>
        </w:rPr>
      </w:r>
    </w:p>
    <w:p>
      <w:pPr>
        <w:pStyle w:val="938"/>
        <w:ind w:left="5670"/>
        <w:jc w:val="both"/>
        <w:spacing w:line="240" w:lineRule="exact"/>
        <w:rPr>
          <w:highlight w:val="white"/>
        </w:rPr>
      </w:pPr>
      <w:r>
        <w:rPr>
          <w:highlight w:val="white"/>
        </w:rPr>
        <w:t xml:space="preserve">постановлением администрации</w:t>
      </w:r>
      <w:r>
        <w:rPr>
          <w:highlight w:val="white"/>
        </w:rPr>
      </w:r>
    </w:p>
    <w:p>
      <w:pPr>
        <w:pStyle w:val="938"/>
        <w:ind w:left="5670"/>
        <w:jc w:val="both"/>
        <w:spacing w:line="240" w:lineRule="exact"/>
        <w:rPr>
          <w:highlight w:val="white"/>
        </w:rPr>
      </w:pPr>
      <w:r>
        <w:rPr>
          <w:highlight w:val="white"/>
        </w:rPr>
        <w:t xml:space="preserve">города Перми</w:t>
      </w:r>
      <w:r>
        <w:rPr>
          <w:highlight w:val="white"/>
        </w:rPr>
      </w:r>
    </w:p>
    <w:p>
      <w:pPr>
        <w:pStyle w:val="938"/>
        <w:ind w:left="5670"/>
        <w:jc w:val="both"/>
        <w:spacing w:line="240" w:lineRule="exact"/>
        <w:rPr>
          <w:highlight w:val="none"/>
        </w:rPr>
      </w:pPr>
      <w:r>
        <w:rPr>
          <w:highlight w:val="white"/>
        </w:rPr>
        <w:t xml:space="preserve">от </w:t>
      </w:r>
      <w:r>
        <w:rPr>
          <w:highlight w:val="none"/>
        </w:rPr>
        <w:t xml:space="preserve">11.12.2024 № 1214</w:t>
      </w:r>
      <w:r>
        <w:rPr>
          <w:highlight w:val="none"/>
        </w:rPr>
      </w:r>
    </w:p>
    <w:p>
      <w:pPr>
        <w:pStyle w:val="938"/>
        <w:ind w:left="5670"/>
        <w:jc w:val="both"/>
        <w:spacing w:line="240" w:lineRule="exact"/>
        <w:rPr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8"/>
        <w:ind w:left="5670"/>
        <w:jc w:val="both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ind w:left="5670"/>
        <w:jc w:val="both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jc w:val="both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jc w:val="center"/>
        <w:spacing w:line="240" w:lineRule="exact"/>
        <w:rPr>
          <w:b/>
          <w:bCs/>
          <w:caps/>
          <w:highlight w:val="white"/>
        </w:rPr>
      </w:pPr>
      <w:r>
        <w:rPr>
          <w:b/>
          <w:bCs/>
          <w:caps/>
          <w:highlight w:val="white"/>
        </w:rPr>
        <w:t xml:space="preserve">Изменения</w:t>
      </w:r>
      <w:r>
        <w:rPr>
          <w:b/>
          <w:bCs/>
          <w:caps/>
          <w:highlight w:val="white"/>
        </w:rPr>
      </w:r>
    </w:p>
    <w:p>
      <w:pPr>
        <w:pStyle w:val="938"/>
        <w:jc w:val="center"/>
        <w:spacing w:line="240" w:lineRule="exact"/>
        <w:rPr>
          <w:b/>
          <w:highlight w:val="white"/>
        </w:rPr>
      </w:pPr>
      <w:r>
        <w:rPr>
          <w:b/>
          <w:bCs/>
          <w:highlight w:val="white"/>
        </w:rPr>
        <w:t xml:space="preserve">в Порядок предоставления субсидии общественным организациям, </w:t>
      </w:r>
      <w:r>
        <w:rPr>
          <w:b/>
          <w:bCs/>
          <w:highlight w:val="white"/>
        </w:rPr>
        <w:br/>
        <w:t xml:space="preserve">внесенным в региональный реестр народных дружин и общественных </w:t>
      </w:r>
      <w:r>
        <w:rPr>
          <w:b/>
          <w:bCs/>
          <w:highlight w:val="white"/>
        </w:rPr>
        <w:br/>
        <w:t xml:space="preserve">объединений правоохранительной направленности, на материальное </w:t>
      </w:r>
      <w:r>
        <w:rPr>
          <w:b/>
          <w:bCs/>
          <w:highlight w:val="white"/>
        </w:rPr>
        <w:br/>
        <w:t xml:space="preserve">стимулирование деятельности народных дружинников, действующим </w:t>
      </w:r>
      <w:r>
        <w:rPr>
          <w:b/>
          <w:bCs/>
          <w:highlight w:val="white"/>
        </w:rPr>
        <w:br/>
        <w:t xml:space="preserve">на территории города Перми, в целях возмещения затрат, </w:t>
      </w:r>
      <w:r>
        <w:rPr>
          <w:b/>
          <w:bCs/>
          <w:highlight w:val="white"/>
        </w:rPr>
        <w:br/>
      </w:r>
      <w:r>
        <w:rPr>
          <w:b/>
          <w:highlight w:val="white"/>
        </w:rPr>
        <w:t xml:space="preserve">утвержденный постановлением администрации города Перми </w:t>
      </w:r>
      <w:r>
        <w:rPr>
          <w:b/>
          <w:highlight w:val="white"/>
        </w:rPr>
        <w:br/>
        <w:t xml:space="preserve">от 21 декабря 2017 г. № 1171</w:t>
      </w:r>
      <w:r>
        <w:rPr>
          <w:b/>
          <w:highlight w:val="white"/>
        </w:rPr>
      </w:r>
    </w:p>
    <w:p>
      <w:pPr>
        <w:pStyle w:val="938"/>
        <w:jc w:val="center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1. Пункт</w:t>
      </w:r>
      <w:r>
        <w:rPr>
          <w:highlight w:val="white"/>
        </w:rPr>
        <w:t xml:space="preserve"> 1.2 после абзаца первого дополнить абзацами следующего содержания: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«Получатели субсидии определяются по результатам запроса предложений на осно</w:t>
      </w:r>
      <w:r>
        <w:rPr>
          <w:highlight w:val="white"/>
        </w:rPr>
        <w:t xml:space="preserve">вании заявок на участие в отборе Получателей субсидии (далее – заявка, отбор), исходя из соответствия участников отбора критериям отбора, установленным к Получателям субсидии (далее – критерии отбора) и очередности поступления заявок на получение субсидии.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Способ предоставления субсидии – возмещение затрат на цели, предусмотренные пунктом 1.3 настоящего Порядка.».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 Пункт 1.6 изложить в следующей редакции: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«1.6. Информаци</w:t>
      </w:r>
      <w:r>
        <w:rPr>
          <w:highlight w:val="white"/>
        </w:rPr>
        <w:t xml:space="preserve">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Федерации.».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3. Раздел 2 изложить в следующей редакции:</w:t>
      </w:r>
      <w:r>
        <w:rPr>
          <w:highlight w:val="white"/>
        </w:rPr>
      </w:r>
    </w:p>
    <w:p>
      <w:pPr>
        <w:pStyle w:val="938"/>
        <w:jc w:val="center"/>
        <w:rPr>
          <w:highlight w:val="white"/>
        </w:rPr>
      </w:pPr>
      <w:r>
        <w:rPr>
          <w:highlight w:val="white"/>
        </w:rPr>
        <w:t xml:space="preserve">«</w:t>
      </w:r>
      <w:r>
        <w:rPr>
          <w:b/>
          <w:bCs/>
          <w:highlight w:val="white"/>
        </w:rPr>
        <w:t xml:space="preserve">II. Условия и порядок предоставления субсидии</w:t>
      </w:r>
      <w:r>
        <w:rPr>
          <w:highlight w:val="white"/>
        </w:rPr>
      </w:r>
    </w:p>
    <w:p>
      <w:pPr>
        <w:pStyle w:val="93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2.1. Субсидия предоставляется по результатам проведения отбора в системе «Электронный бюджет» в соответствии с разделами 5-9 настоящего Порядка, на основании заключ</w:t>
      </w:r>
      <w:r>
        <w:rPr>
          <w:color w:val="000000" w:themeColor="text1"/>
          <w:highlight w:val="white"/>
        </w:rPr>
        <w:t xml:space="preserve">енного между главным распорядителем и Получателем субсидии договора о предоставлении субсидии (далее – Договор) в соответствии с типовой формой, утвержденной распоряжением начальника департамента финансов администрации города Перми (далее – типовая форма).</w:t>
      </w:r>
      <w:r>
        <w:rPr>
          <w:color w:val="000000" w:themeColor="text1"/>
          <w:highlight w:val="white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Договор заключается с учетом территории (района) города Перми, деятельность на которой осуществляется Получателем субсидии. На обслуживание одной территории (района) города Перми заключается не более одного Договора.</w:t>
      </w:r>
      <w:r>
        <w:rPr>
          <w:color w:val="000000" w:themeColor="text1"/>
          <w:highlight w:val="white"/>
          <w:lang w:val="ru-RU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Предельное количество Получателей субсидии – 7.</w:t>
      </w:r>
      <w:r>
        <w:rPr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 Требования, которым должен соответствовать участник отбора на дату не ранее чем за 30 календарных дней до даты рассмотрения заявки на участие </w:t>
      </w:r>
      <w:r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 xml:space="preserve">в отборе: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2.2.1.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 xml:space="preserve">в утвержденный Министерством финансов Российской Федерации </w:t>
      </w:r>
      <w:hyperlink r:id="rId50" w:tooltip="https://login.consultant.ru/link/?req=doc&amp;base=LAW&amp;n=420230&amp;date=12.09.2024&amp;dst=100010&amp;field=134" w:history="1">
        <w:r>
          <w:rPr>
            <w:color w:val="000000" w:themeColor="text1"/>
            <w:highlight w:val="white"/>
          </w:rPr>
          <w:t xml:space="preserve">перечень</w:t>
        </w:r>
      </w:hyperlink>
      <w:r>
        <w:rPr>
          <w:color w:val="000000" w:themeColor="text1"/>
          <w:highlight w:val="white"/>
        </w:rPr>
        <w:t xml:space="preserve"> государств и территорий, используемых для промежуточного (офшорного) владения активами в Российской Федер</w:t>
      </w:r>
      <w:r>
        <w:rPr>
          <w:color w:val="000000" w:themeColor="text1"/>
          <w:highlight w:val="white"/>
        </w:rPr>
        <w:t xml:space="preserve">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</w:t>
      </w:r>
      <w:r>
        <w:rPr>
          <w:color w:val="000000" w:themeColor="text1"/>
          <w:highlight w:val="white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color w:val="000000" w:themeColor="text1"/>
          <w:highlight w:val="whit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2.2.3. не находится в составляемых в рамках реализации полномочий, предусмотренных </w:t>
      </w:r>
      <w:hyperlink r:id="rId51" w:tooltip="https://login.consultant.ru/link/?req=doc&amp;base=LAW&amp;n=121087&amp;date=12.09.2024&amp;dst=100142&amp;field=134" w:history="1">
        <w:r>
          <w:rPr>
            <w:color w:val="000000" w:themeColor="text1"/>
            <w:highlight w:val="white"/>
          </w:rPr>
          <w:t xml:space="preserve">главой VII</w:t>
        </w:r>
      </w:hyperlink>
      <w:r>
        <w:rPr>
          <w:color w:val="000000" w:themeColor="text1"/>
          <w:highlight w:val="white"/>
        </w:rPr>
        <w:t xml:space="preserve"> Ус</w:t>
      </w:r>
      <w:r>
        <w:rPr>
          <w:color w:val="000000" w:themeColor="text1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2.2.4. не получает средства из бюджета города Перми на основании иных муниципальных правовых актов на цели, установленные пунктом 1.3 настоящего Порядка;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2.2.5. не является иностранным агентом в соответствии с Федеральным </w:t>
      </w:r>
      <w:hyperlink r:id="rId52" w:tooltip="https://login.consultant.ru/link/?req=doc&amp;base=LAW&amp;n=465999&amp;date=12.09.2024" w:history="1">
        <w:r>
          <w:rPr>
            <w:color w:val="000000" w:themeColor="text1"/>
            <w:highlight w:val="white"/>
          </w:rPr>
          <w:t xml:space="preserve">законом</w:t>
        </w:r>
      </w:hyperlink>
      <w:r>
        <w:rPr>
          <w:color w:val="000000" w:themeColor="text1"/>
          <w:highlight w:val="white"/>
        </w:rPr>
        <w:t xml:space="preserve"> от 14 июля 2022 г. № 255-ФЗ</w:t>
      </w:r>
      <w:r>
        <w:rPr>
          <w:color w:val="000000" w:themeColor="text1"/>
          <w:highlight w:val="white"/>
        </w:rPr>
        <w:t xml:space="preserve"> «О контроле за деятельностью лиц, находящихся под иностранным влиянием»;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2.2.6. на едином налоговом счете отсутствует или не превышает размер, определенный </w:t>
      </w:r>
      <w:hyperlink r:id="rId53" w:tooltip="https://login.consultant.ru/link/?req=doc&amp;base=LAW&amp;n=482899&amp;date=12.09.2024&amp;dst=5769&amp;field=134" w:history="1">
        <w:r>
          <w:rPr>
            <w:color w:val="000000" w:themeColor="text1"/>
            <w:highlight w:val="white"/>
          </w:rPr>
          <w:t xml:space="preserve">пунктом 3 статьи 47</w:t>
        </w:r>
      </w:hyperlink>
      <w:r>
        <w:rPr>
          <w:color w:val="000000" w:themeColor="text1"/>
          <w:highlight w:val="whit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2.2.7. внесен в региональный реестр народных дружин и общественных объединений правоохранительной направленности.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2.3. Критерии отбора для предоставления субсидии: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2.3.1. соответствие участника отбора требованиям, указанным в пункте 2.2 настоящего Порядка;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2.3.2. осуществление участником отбора деятельности на территории города Перми.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2.4. Участие в отборе осуществляется на основании заявок, поданных участниками отбора в системе «Электронный бюджет».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Вместе с заявкой участник отбора представляет: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копии учредительных документов, заверенные в установленном порядке руководителем участника отбора;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документ, подтверждающий полномочия лица на осуществление юридических действий от имени участника отбора, заверенный в установленном порядке руководителем участника отбора;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документ, удостоверяющий включение участника отбора в региональный реестр народных дружин и общественных объединений правоохранительной направленности;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справку из налогового органа об отсутст</w:t>
      </w:r>
      <w:r>
        <w:rPr>
          <w:color w:val="000000" w:themeColor="text1"/>
          <w:highlight w:val="white"/>
        </w:rPr>
        <w:t xml:space="preserve">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не ранее 1 месяца до дня представления документов.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Заявка, поданная в системе «Электронный бюджет», является документом, подтверждающим соответствие требованиям, указанным в пункте 2.2 настоящего Порядка.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Требования к документам определены пунктами 7.2-7.5 настоящего Порядка.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2.5. Проверка участника отбора на соответствие требованиям, указанным </w:t>
      </w:r>
      <w:r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 xml:space="preserve">в </w:t>
      </w:r>
      <w:hyperlink r:id="rId54" w:tooltip="https://login.consultant.ru/link/?req=doc&amp;base=RLAW368&amp;n=196928&amp;dst=103239&amp;field=134&amp;date=17.10.2024" w:history="1">
        <w:r>
          <w:rPr>
            <w:color w:val="000000" w:themeColor="text1"/>
            <w:highlight w:val="white"/>
          </w:rPr>
          <w:t xml:space="preserve">пункте 2.2</w:t>
        </w:r>
      </w:hyperlink>
      <w:r>
        <w:rPr>
          <w:color w:val="000000" w:themeColor="text1"/>
          <w:highlight w:val="white"/>
        </w:rPr>
        <w:t xml:space="preserve"> настоящего Порядка, осуществляется </w:t>
      </w:r>
      <w:r>
        <w:rPr>
          <w:color w:val="000000" w:themeColor="text1"/>
          <w:highlight w:val="white"/>
        </w:rPr>
        <w:t xml:space="preserve">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white"/>
        </w:rPr>
        <w:t xml:space="preserve">Подтверждение соответствия участника отбора требованиям, указанным </w:t>
      </w:r>
      <w:r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 xml:space="preserve">в </w:t>
      </w:r>
      <w:hyperlink r:id="rId55" w:tooltip="https://login.consultant.ru/link/?req=doc&amp;base=RLAW368&amp;n=196928&amp;dst=103239&amp;field=134&amp;date=17.10.2024" w:history="1">
        <w:r>
          <w:rPr>
            <w:color w:val="000000" w:themeColor="text1"/>
            <w:highlight w:val="white"/>
          </w:rPr>
          <w:t xml:space="preserve">пункте 2.2</w:t>
        </w:r>
      </w:hyperlink>
      <w:r>
        <w:rPr>
          <w:color w:val="000000" w:themeColor="text1"/>
          <w:highlight w:val="white"/>
        </w:rPr>
        <w:t xml:space="preserve"> настоящего Порядка, в случае отсутствия технической возможности осуществления автоматиче</w:t>
      </w:r>
      <w:r>
        <w:rPr>
          <w:color w:val="000000" w:themeColor="text1"/>
          <w:highlight w:val="white"/>
        </w:rPr>
        <w:t xml:space="preserve">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color w:val="000000" w:themeColor="text1"/>
          <w:highlight w:val="white"/>
        </w:rPr>
      </w:r>
    </w:p>
    <w:p>
      <w:pPr>
        <w:pStyle w:val="99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Главный распорядитель проводит проверку информации, содержащейся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br/>
        <w:t xml:space="preserve">в документах, представленных к заявке в системе «Электронный бюджет»,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br/>
        <w:t xml:space="preserve">на соответствие требованиям, указанным в </w:t>
      </w:r>
      <w:hyperlink r:id="rId56" w:tooltip="https://login.consultant.ru/link/?req=doc&amp;base=RLAW368&amp;n=196928&amp;dst=103239&amp;field=134&amp;date=19.10.2024" w:history="1">
        <w:r>
          <w:rPr>
            <w:color w:val="000000" w:themeColor="text1"/>
            <w:sz w:val="28"/>
            <w:szCs w:val="28"/>
            <w:highlight w:val="white"/>
            <w:lang w:val="ru-RU" w:eastAsia="ru-RU"/>
          </w:rPr>
          <w:t xml:space="preserve">пунктах 2.2</w:t>
        </w:r>
      </w:hyperlink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, </w:t>
      </w:r>
      <w:hyperlink r:id="rId57" w:tooltip="https://login.consultant.ru/link/?req=doc&amp;base=RLAW368&amp;n=196928&amp;dst=102577&amp;field=134&amp;date=19.10.2024" w:history="1">
        <w:r>
          <w:rPr>
            <w:color w:val="000000" w:themeColor="text1"/>
            <w:sz w:val="28"/>
            <w:szCs w:val="28"/>
            <w:highlight w:val="white"/>
            <w:lang w:val="ru-RU" w:eastAsia="ru-RU"/>
          </w:rPr>
          <w:t xml:space="preserve">2.</w:t>
        </w:r>
      </w:hyperlink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4 настоящего Порядка,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br/>
        <w:t xml:space="preserve">в течение 10 рабочих дней с даты подачи заявки.</w:t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Главный распорядитель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t xml:space="preserve">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</w:t>
      </w:r>
      <w:r>
        <w:rPr>
          <w:color w:val="000000" w:themeColor="text1"/>
          <w:sz w:val="28"/>
          <w:szCs w:val="28"/>
          <w:highlight w:val="white"/>
          <w:lang w:val="ru-RU" w:eastAsia="ru-RU"/>
        </w:rPr>
        <w:br/>
        <w:t xml:space="preserve">у главного распорядителя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по собственной инициативе.</w:t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2.6. Основаниями для отказа Получателю субсидии в предоставлении субсидии являются: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</w:t>
      </w:r>
      <w:r>
        <w:rPr>
          <w:highlight w:val="white"/>
        </w:rPr>
        <w:t xml:space="preserve">6.1. несоответствие представленных Получателем субсидии документов требованиям, определенным в соответствии с пунктами 7.2-7.5 настоящего Порядка, или непредставление (представление не в полном объеме) документов, указанных в пункте 2.4 настоящего Порядка;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2.6.2. установление факта недостоверности представленной Получателем субсидии информации;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2.6.3. несоответствие Получателя субсидии требованиям, указанным </w:t>
      </w:r>
      <w:r>
        <w:rPr>
          <w:highlight w:val="white"/>
        </w:rPr>
        <w:br/>
        <w:t xml:space="preserve">в пункте 2.2 настоящего Порядка.</w:t>
      </w:r>
      <w:r>
        <w:rPr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2.7. Порядок расчета размера субсидии:</w:t>
      </w:r>
      <w:r>
        <w:rPr>
          <w:strike/>
          <w:color w:val="000000" w:themeColor="text1"/>
          <w:highlight w:val="white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2.7.1. размер субсидии на очередной финансовый год.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Размер субсидии на очередной финансовый год состоит из расходов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на денежное вознаграждение дружинников за выходы на дежурство, расходов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на денежное вознаграждение дружинников за особые заслуги в деятельности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по охране общественного порядка и расходов на денежное вознаграждение командиров народных дружин.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/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Размер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расходов на материальное стимулирование деятельности народных дружинников определяется исходя из расходов на денежное вознаграждение, предусмотренных приложением 1 к настоящему Порядку.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Расчет размера субсидии на очередной финансовый год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Рмс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Рмс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+ Роз +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Рк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, где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размер расходов на денежное вознаграждение дружинников за выходы на дежурство;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Роз – размер расходов на денежное вознаграждение дружинников за особые заслуги в деятельности по охране общественного порядка;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Рк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размер расходов на денежное вознаграждение командиров народных дружин.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Расчет размера расходов на денежное вознаграждение дружинников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за выход на дежурство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Дч1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Мкч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Чд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Кмг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, где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Дч1 – размер денежного вознаграждения за час на одного дружинника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за выход на дежурство при условии выполнени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я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показателя Кд, установленного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приложением 2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к настоящему Порядку;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Мкч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максимальное количество часов в месяц на одного дружинника согласно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приложению 2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к настоящему Порядку;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Чд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число дружинников, установленное распорядительным документом главного распорядителя;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Кмг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количество месяцев в году (12).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Размер расходов на денежное вознаграждение дружинников за особые заслуги в деятельности по охране общественного порядка (Роз) состоит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из расходов на денежное вознаграждение за участие в раскрытии преступлений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и расходов на денежное вознаграждение дружинников за участие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в выявлении административных правонарушений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Рап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Расчет размера расходов на денежное вознаграждение дружинников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за особые заслуги в деятельности по охране общественного порядка (Роз)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Роз =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+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Рап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Расчет размера расходов на денежное вознаграждение дружинников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за участие в раскрытии преступлений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Дрп1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Крп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Чд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, где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Дрп1 –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размер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денежного вознаграждения за каждый случай участия одного дружинника в раскрытии преступлений в текущем году, установленный приложением 1 к настоящему Порядку;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Крп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коэффициент участия в раскрытии преступлений на одного дружинника в год согласно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приложению 2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к настоящему Порядку.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Расчет размера расходов на денежное вознаграждение дружинников </w:t>
      </w:r>
      <w:r>
        <w:rPr>
          <w:color w:val="000000" w:themeColor="text1"/>
          <w:sz w:val="28"/>
          <w:szCs w:val="28"/>
          <w:highlight w:val="white"/>
          <w:lang w:val="ru-RU"/>
        </w:rPr>
        <w:br/>
        <w:t xml:space="preserve">за участие в выявлении административных правонарушений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Рап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Рап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Дап1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Кап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Чд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, где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Дап1 –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размер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денежного вознаграждения за каждый случай участия одного дружинника в выявлении 10 административных правонарушений в текущем году, установленный приложением 1 к настоящему Порядку;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Кап – коэффициент участия в выявлении 10 административных правонарушений одним дружинником в год согласно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приложению 2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к настоящему Порядку.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Расчет размера выплат на денежное вознаграждение командиров народных дружин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Рк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Рк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Рд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+ Роз)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8 %;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2.7.2. общий размер расходов на материальное стимулирование деятельности дружинников, осуществляющих деятельность на территории города Перми, за выходы на деж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урство, особые заслуги в деятельности по охране общественного порядка и денежное вознаграждение командиров народных дружин в текущем году не должен превышать объема выделенных главному распорядителю лимитов бюджетных обязательств на текущий финансовый год;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2.7.3. размер субсидии, предоставляемой Получателю субсидии, определяется исходя из численности дружинников народной дружины и устанавливается главным распорядителем в </w:t>
      </w:r>
      <w:r>
        <w:rPr>
          <w:sz w:val="28"/>
          <w:szCs w:val="28"/>
          <w:highlight w:val="white"/>
          <w:lang w:val="ru-RU"/>
        </w:rPr>
        <w:t xml:space="preserve">Договоре.</w:t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Конкретные значения нормативных показателей чис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ленности дружинников для расчета размера субсидии, предоставляемой Получателю субсидии, определяются распорядительным документом главного распорядителя, при этом нормативный показатель численности дружинников по городу Перми не может превышать 210 человек;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2.7.4. размер расходов на материальное стимулирование деятельности народных дружинников может перераспределяться в течение текущего года между Получателями субсидии путем заключения дополнительного соглашения к Договору;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2.7.5. субсидия предоставляется Получателю субсидии в пределах доведенных лимитов бюджетных обязательств ежемесячно путем перечисления денежных средств в соответствии с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пунктом 2.1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6 настоящего Порядка;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2.7.6. при определении ежемесячного размера расходов на денежное вознаграждение дружинников за выходы на дежурство учитывается показатель оценки Кд – минимальная продолжительность в часах выходов на дежурство одного дружинника в течение месяца согласно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приложению 2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к настоящему Порядку. При невыполнении минимальной продолжительности выходов на дежурство в течение месяца выплата денежного вознаграждения дружиннику не предусматривается.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Ежемесячный размер расходов на денежное вознаграждение дружинников за выходы на дежурство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Рдм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Рдм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Дч1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Фкч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, где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Фкч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общее фактическое количество часов, отработанных дружинниками за месяц с учетом показателя оценки Кд;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2.7.7. при определении ежемесячного размера расходов на денежное вознаграждение дружинников за особые заслуги в деятельности по охране общественного порядка учитываются следующие показатели оценки: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количество случаев участия дружинника в раскрытии преступлений, в том числе совместно с органами внутренних дел, в течение месяца;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количество случаев участия в выявлении одним дружинником 10 административных правонарушений, в том числе совместно с органами внутренних дел, в течение месяца;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2.7.8. при определении ежемесячного размера расходов на денежное вознаграждение дружинника за участие в выявлении административных правонарушений принимается значение показателя Кап согласно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приложению 2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 к настоящему Порядку.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1 случай – 10 выявленных административных правонарушений.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 случая – 20 выявленных административных правонарушений и так далее.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Ежемесячный размер расходов на денежное вознаграждение дружинников за особые заслуги в деятельности по охране общественного порядка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Розм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определяется по формуле: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Розм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Рпм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+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Рапм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, где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Рпм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ежемесячный размер расходов на денежное вознаграждение дружинников за участие в раскрытии преступлений: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Рпм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Дрп1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Крп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Рапм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– ежемесячный размер расходов на денежное вознаграждение дружинников за участие в выявлении административных правонарушений: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Рапм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Дап1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Кап.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Ежемесячный размер расходов на денежное вознаграждение командиров народных дружин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Ркм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определяется по формуле:</w:t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jc w:val="center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Ркм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= (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Рдм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+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Розм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) </w:t>
      </w:r>
      <w:r>
        <w:rPr>
          <w:color w:val="000000" w:themeColor="text1"/>
          <w:sz w:val="28"/>
          <w:szCs w:val="28"/>
          <w:highlight w:val="white"/>
        </w:rPr>
        <w:t xml:space="preserve">x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 8 %;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2.7.9. по решению главного распорядителя расходы на материальное стимулирование деятельности народных дружинников, действующих на территории города Перми, могут перераспределяться между плановыми </w:t>
      </w:r>
      <w:hyperlink w:history="1">
        <w:r>
          <w:rPr>
            <w:color w:val="000000" w:themeColor="text1"/>
            <w:sz w:val="28"/>
            <w:szCs w:val="28"/>
            <w:highlight w:val="white"/>
            <w:lang w:val="ru-RU"/>
          </w:rPr>
          <w:t xml:space="preserve">показателями</w:t>
        </w:r>
      </w:hyperlink>
      <w:r>
        <w:rPr>
          <w:color w:val="000000" w:themeColor="text1"/>
          <w:sz w:val="28"/>
          <w:szCs w:val="28"/>
          <w:highlight w:val="white"/>
          <w:lang w:val="ru-RU"/>
        </w:rPr>
        <w:t xml:space="preserve">, установленными приложением 2 к настоящему Порядку, в пределах выделенных бюджетных ассигнований в зависимости от конкретных значений, достигнутых Получателем субсидии в текущем месяце.</w:t>
      </w:r>
      <w:r>
        <w:rPr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strike/>
          <w:color w:val="000000" w:themeColor="text1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2.8. Результатами предоставления субсидии (далее – Результаты) являются:</w:t>
      </w:r>
      <w:r>
        <w:rPr>
          <w:strike/>
          <w:color w:val="000000" w:themeColor="text1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численность народных дружинников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;</w:t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96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количество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оплаченных часов дежурств народных дружинников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color w:val="000000" w:themeColor="text1"/>
          <w:highlight w:val="white"/>
        </w:rPr>
        <w:t xml:space="preserve">2.9. В течение 10 рабочих дней со дня подписания протокола подведения итогов отбора главный распорядитель направляет победителю отбора проект Договора на бумажном носителе в двух экземплярах по типовой форме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Договор должен содержать условие о согласовании новых условий Договора или о его расторжении при </w:t>
      </w:r>
      <w:r>
        <w:rPr>
          <w:highlight w:val="white"/>
        </w:rPr>
        <w:t xml:space="preserve">недостижении</w:t>
      </w:r>
      <w:r>
        <w:rPr>
          <w:highlight w:val="white"/>
        </w:rPr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2.10. Победитель отбора в течение 5 рабочих дней со дня получения Договора подписывает и направляет его главному распорядителю.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Главный распорядитель подписывает и регистрирует Договор в течение </w:t>
      </w:r>
      <w:r>
        <w:rPr>
          <w:highlight w:val="white"/>
        </w:rPr>
        <w:br/>
        <w:t xml:space="preserve">5 рабочих дней, следующих за днем его получения от победителя отбора.</w:t>
      </w:r>
      <w:r>
        <w:rPr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2.11. В случаях, установленных Договором, заключаются дополнительные соглашения к Договору, предусматривающие внесение изменений, в соответствии с типовой формой.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Расторжение Договора возможно по соглашению сторон. При этом сторона Договора, инициирующая его расторжение, не позднее чем за 10 рабочих дней </w:t>
      </w:r>
      <w:r>
        <w:rPr>
          <w:color w:val="000000" w:themeColor="text1"/>
          <w:highlight w:val="white"/>
        </w:rPr>
        <w:br/>
        <w:t xml:space="preserve">до планируемой даты расторжения Договора направляет другой стороне Договора письменное предложение о расторжении Договора.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достижении взаимного согласия Договор расторгается путем заключения главным распорядителем и Получателем субсидии дополнительного соглашения о расторжении Договора по форме, являющейся приложением к Договору.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strike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</w:t>
      </w:r>
      <w:r>
        <w:rPr>
          <w:color w:val="000000" w:themeColor="text1"/>
          <w:highlight w:val="white"/>
        </w:rPr>
        <w:t xml:space="preserve">недостижении</w:t>
      </w:r>
      <w:r>
        <w:rPr>
          <w:color w:val="000000" w:themeColor="text1"/>
          <w:highlight w:val="white"/>
        </w:rPr>
        <w:t xml:space="preserve"> согласия по новым услов</w:t>
      </w:r>
      <w:r>
        <w:rPr>
          <w:color w:val="000000" w:themeColor="text1"/>
          <w:highlight w:val="white"/>
        </w:rPr>
        <w:t xml:space="preserve">иям Договора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Договоре, главный распорядитель принимает решение о расторжении Договора.</w:t>
      </w:r>
      <w:r>
        <w:rPr>
          <w:strike/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реорганизации Получателя субсидии, являющегося юриди</w:t>
      </w:r>
      <w:r>
        <w:rPr>
          <w:color w:val="000000" w:themeColor="text1"/>
          <w:highlight w:val="white"/>
        </w:rPr>
        <w:t xml:space="preserve">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 реорганиз</w:t>
      </w:r>
      <w:r>
        <w:rPr>
          <w:color w:val="000000" w:themeColor="text1"/>
          <w:highlight w:val="white"/>
        </w:rPr>
        <w:t xml:space="preserve">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</w:t>
      </w:r>
      <w:r>
        <w:rPr>
          <w:color w:val="000000" w:themeColor="text1"/>
          <w:highlight w:val="white"/>
        </w:rPr>
        <w:t xml:space="preserve">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color w:val="000000" w:themeColor="text1"/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2.12. Для расчета размера субсидии и ее получения Получатель субсидии ежемесячно не позднее 5 рабочего дня месяца, следующего за отчетным, представляет главному распорядителю документы, указанные в пунктах 3.2, 3.4 настоящего Порядка.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2.13. Порядок и сроки проверки главным распорядителем документов </w:t>
      </w:r>
      <w:r>
        <w:rPr>
          <w:highlight w:val="white"/>
        </w:rPr>
        <w:br/>
        <w:t xml:space="preserve">для перечисления субсидии: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2.13.1. главный распо</w:t>
      </w:r>
      <w:r>
        <w:rPr>
          <w:highlight w:val="white"/>
        </w:rPr>
        <w:t xml:space="preserve">рядитель в течение 5 рабочих дней со дня поступления документов, перечисленных в пунктах 3.2, 3.4 настоящего Порядка, осуществляет их проверку на наличие оснований для отказа в перечислении субсидии, предусмотренных пунктами 2.14, 2.15 настоящего Порядка. 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По результатам проверки документов главный распорядитель в течение </w:t>
      </w:r>
      <w:r>
        <w:rPr>
          <w:highlight w:val="white"/>
        </w:rPr>
        <w:br/>
      </w:r>
      <w:r>
        <w:rPr>
          <w:highlight w:val="white"/>
        </w:rPr>
        <w:t xml:space="preserve">2 рабочих дней принимает решение о перечислении субсидии или об отказе в перечислении субсидии – при наличии оснований для отказа в перечислении субсидии, предусмотренных пунктами 2.14, 2.15 настоящего Порядка.</w:t>
      </w:r>
      <w:r>
        <w:rPr>
          <w:highlight w:val="white"/>
        </w:rPr>
      </w:r>
    </w:p>
    <w:p>
      <w:pPr>
        <w:pStyle w:val="938"/>
        <w:ind w:firstLine="709"/>
        <w:jc w:val="both"/>
        <w:rPr>
          <w:strike/>
          <w:highlight w:val="white"/>
        </w:rPr>
      </w:pPr>
      <w:r>
        <w:rPr>
          <w:highlight w:val="white"/>
        </w:rPr>
        <w:t xml:space="preserve">В случае принятия решения об отказе в перечислении субсидии главный распорядитель возвращает документы Получателю субсидии в течение 2 рабочих дней с даты принятия решения об отказе;</w:t>
      </w:r>
      <w:r>
        <w:rPr>
          <w:strike/>
          <w:highlight w:val="white"/>
        </w:rPr>
      </w:r>
    </w:p>
    <w:p>
      <w:pPr>
        <w:pStyle w:val="938"/>
        <w:ind w:firstLine="709"/>
        <w:jc w:val="both"/>
        <w:rPr>
          <w:strike/>
          <w:highlight w:val="white"/>
        </w:rPr>
      </w:pPr>
      <w:r>
        <w:rPr>
          <w:highlight w:val="white"/>
        </w:rPr>
        <w:t xml:space="preserve">2.13.2. Получатель субсидии вправе повторно направить документы, ук</w:t>
      </w:r>
      <w:r>
        <w:rPr>
          <w:highlight w:val="white"/>
        </w:rPr>
        <w:t xml:space="preserve">азанные в пунктах 3.2, 3.4 настоящего Порядка, после устранения причин, послуживших основанием для отказа в перечислении субсидии. Повторное рассмотрение документов осуществляется главным распорядителем в течение 3 рабочих дней со дня их повторного приема.</w:t>
      </w:r>
      <w:r>
        <w:rPr>
          <w:strike/>
          <w:highlight w:val="white"/>
        </w:rPr>
      </w:r>
    </w:p>
    <w:p>
      <w:pPr>
        <w:pStyle w:val="938"/>
        <w:ind w:firstLine="709"/>
        <w:jc w:val="both"/>
        <w:rPr>
          <w:strike/>
          <w:highlight w:val="white"/>
        </w:rPr>
      </w:pPr>
      <w:r>
        <w:rPr>
          <w:highlight w:val="white"/>
        </w:rPr>
        <w:t xml:space="preserve">2.14. Основанием для отказа Получателю субсидии в перечислении субсидии является несвоевременное представление и (или) представление Получателем субсидии не в полном объеме документов, предусмотренных пунктом 3.4 настоящего Порядка.</w:t>
      </w:r>
      <w:r>
        <w:rPr>
          <w:strike/>
          <w:highlight w:val="white"/>
        </w:rPr>
      </w:r>
    </w:p>
    <w:p>
      <w:pPr>
        <w:pStyle w:val="938"/>
        <w:ind w:firstLine="709"/>
        <w:jc w:val="both"/>
        <w:rPr>
          <w:strike/>
          <w:highlight w:val="white"/>
        </w:rPr>
      </w:pPr>
      <w:r>
        <w:rPr>
          <w:highlight w:val="white"/>
        </w:rPr>
        <w:t xml:space="preserve">2.15. Основаниями для отказа Получателю субсидии в перечислении субсидии в размере расходов на денежное вознаграждение командиров народных дружин за отчетный период являются:</w:t>
      </w:r>
      <w:r>
        <w:rPr>
          <w:strike/>
          <w:highlight w:val="white"/>
        </w:rPr>
      </w:r>
    </w:p>
    <w:p>
      <w:pPr>
        <w:pStyle w:val="938"/>
        <w:ind w:firstLine="709"/>
        <w:jc w:val="both"/>
        <w:rPr>
          <w:strike/>
          <w:highlight w:val="white"/>
        </w:rPr>
      </w:pPr>
      <w:r>
        <w:rPr>
          <w:highlight w:val="white"/>
        </w:rPr>
        <w:t xml:space="preserve">несоответствие представленных Получателем субсидии документов требованиям, установленным пунктами 3.4, 3.5 настоящего Порядка;</w:t>
      </w:r>
      <w:r>
        <w:rPr>
          <w:strike/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недостоверность данных в документах, предусмотренных пунктом 3.4 настоящего Порядка, представленных главному распорядителю;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невыполнение П</w:t>
      </w:r>
      <w:r>
        <w:rPr>
          <w:highlight w:val="white"/>
        </w:rPr>
        <w:t xml:space="preserve">олучателем субсидии решений, принятых на заседании городского штаба народных дружин в городе Перми. Наличие данного основания устанавливается решением главного распорядителя и отражается в протоколе заседания городского штаба народных дружин в городе Перми</w:t>
      </w:r>
      <w:r>
        <w:rPr>
          <w:color w:val="000000"/>
          <w:sz w:val="24"/>
          <w:highlight w:val="white"/>
        </w:rPr>
        <w:t xml:space="preserve">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2.16. Перечисление субси</w:t>
      </w:r>
      <w:r>
        <w:rPr>
          <w:highlight w:val="white"/>
        </w:rPr>
        <w:t xml:space="preserve">дии осуществляется главным распорядителем не позднее 10 рабочего дня, следующего за днем принятия главным распорядителем по результатам рассмотрения и проверки им документов, указанных в пунктах 3.2, 3.4 настоящего Порядка, решения о перечислении субсидии.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2.17. Материальное стимулирование деятельности народных дружинников, действующих на территории города Перми, в виде субсидии в соответствии </w:t>
      </w:r>
      <w:r>
        <w:rPr>
          <w:highlight w:val="white"/>
        </w:rPr>
        <w:br/>
        <w:t xml:space="preserve">с условиями настоящего Порядка производится за счет средств бюджета города Перми и бюджета Пермского края, передаваемых в форме субсидии, на условиях </w:t>
      </w:r>
      <w:r>
        <w:rPr>
          <w:highlight w:val="white"/>
        </w:rPr>
        <w:t xml:space="preserve">софинансирования</w:t>
      </w:r>
      <w:r>
        <w:rPr>
          <w:highlight w:val="white"/>
        </w:rPr>
        <w:t xml:space="preserve">.».</w:t>
      </w:r>
      <w:r>
        <w:rPr>
          <w:highlight w:val="white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4. Пункт 3.3 признать утратившим силу.</w:t>
      </w:r>
      <w:r>
        <w:rPr>
          <w:highlight w:val="white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5. Пункт 3.4 изложить в следующей редакции:</w:t>
      </w:r>
      <w:r>
        <w:rPr>
          <w:highlight w:val="white"/>
        </w:rPr>
      </w:r>
    </w:p>
    <w:p>
      <w:pPr>
        <w:pStyle w:val="938"/>
        <w:ind w:firstLine="709"/>
        <w:jc w:val="both"/>
        <w:rPr>
          <w:sz w:val="24"/>
          <w:highlight w:val="white"/>
        </w:rPr>
      </w:pPr>
      <w:r>
        <w:rPr>
          <w:highlight w:val="white"/>
        </w:rPr>
        <w:t xml:space="preserve">«3.4. Получатель субсидии, кроме отчета, предусмотренного пунктом 3.2 настоящего Порядка, представляет главному распорядителю следующую отчетность:</w:t>
      </w:r>
      <w:r>
        <w:rPr>
          <w:sz w:val="24"/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3.4.1. </w:t>
      </w:r>
      <w:hyperlink w:history="1">
        <w:r>
          <w:rPr>
            <w:highlight w:val="white"/>
          </w:rPr>
          <w:t xml:space="preserve">отчет</w:t>
        </w:r>
      </w:hyperlink>
      <w:r>
        <w:rPr>
          <w:highlight w:val="white"/>
        </w:rPr>
        <w:t xml:space="preserve"> о деятельности, согласованный с территориальным органом внутренних дел;</w:t>
      </w:r>
      <w:r>
        <w:rPr>
          <w:highlight w:val="white"/>
        </w:rPr>
      </w:r>
    </w:p>
    <w:p>
      <w:pPr>
        <w:pStyle w:val="938"/>
        <w:ind w:firstLine="709"/>
        <w:jc w:val="both"/>
        <w:rPr>
          <w:sz w:val="24"/>
          <w:highlight w:val="white"/>
        </w:rPr>
      </w:pPr>
      <w:r>
        <w:rPr>
          <w:highlight w:val="white"/>
        </w:rPr>
        <w:t xml:space="preserve">3.4.2. табель учета выходов на дежурства, в котором указывается количество часов за выход на дежурство по дням в течение месяца.</w:t>
      </w:r>
      <w:r>
        <w:rPr>
          <w:sz w:val="24"/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Сроки и формы представления документов, указанных в настоящем пункте, определяются Договором.».</w:t>
      </w:r>
      <w:r>
        <w:rPr>
          <w:highlight w:val="white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6. Дополнить пунктом 3.5 следующего содержания: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  <w:t xml:space="preserve">«3.5. Отчетность, указанная в пунктах 3.2, 3.4 настоящего Порядка, подписывается руководителем или иным уполномоченным лицом Получателя субсидии, скрепляется печатью (при ее наличии) и представляется главному распорядителю на бумажном носителе.».</w:t>
      </w:r>
      <w:r>
        <w:rPr>
          <w:highlight w:val="white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7. В пункте 4.3 слова «осуществляют проверку соблюдения Получателем субсидии порядка и условий предоставления субсидии» заменить словами «осуществляют проверки».</w:t>
      </w:r>
      <w:r>
        <w:rPr>
          <w:highlight w:val="white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8. В абзаце пятом пункта 4.10 слова «в пункте 2.10» заменить словами </w:t>
      </w:r>
      <w:r>
        <w:rPr>
          <w:highlight w:val="white"/>
        </w:rPr>
        <w:br/>
        <w:t xml:space="preserve">«в пункте 2.8».</w:t>
      </w:r>
      <w:r>
        <w:rPr>
          <w:highlight w:val="white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  <w:rPr>
          <w:highlight w:val="white"/>
        </w:rPr>
      </w:pPr>
      <w:r>
        <w:rPr>
          <w:highlight w:val="white"/>
        </w:rPr>
        <w:t xml:space="preserve">9. Дополнить пунктом 4.14 следующего содержания: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«4.14. Порядок и сроки возврата субсидии в бюджет города Перми в случае нарушения условий ее предоставления: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4.14.1. в случаях выявления обст</w:t>
      </w:r>
      <w:r>
        <w:rPr>
          <w:highlight w:val="white"/>
        </w:rPr>
        <w:t xml:space="preserve">оятельств, указанных в пункте 4.10 настоящего Порядка, главный распорядитель направляет Получателю субсидии требование о возврате субсидии, которое должно быть исполнено Получателем субсидии в течение 15 рабочих дней с даты получения указанного требования;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4.14.2. в случае невыполнения Получателем субсидии в установленный срок требования о возврате субсидии главный распорядитель обеспечивает взыскание данной субсидии в судебном порядке.».</w:t>
      </w:r>
      <w:r>
        <w:rPr>
          <w:highlight w:val="white"/>
        </w:rPr>
      </w:r>
    </w:p>
    <w:p>
      <w:pPr>
        <w:pStyle w:val="938"/>
        <w:ind w:firstLine="709"/>
        <w:jc w:val="both"/>
        <w:rPr>
          <w:highlight w:val="white"/>
        </w:rPr>
      </w:pPr>
      <w:r>
        <w:rPr>
          <w:highlight w:val="white"/>
        </w:rPr>
        <w:t xml:space="preserve">10. Дополнить разделами 5-9 следующего содержания:</w:t>
      </w:r>
      <w:r>
        <w:rPr>
          <w:highlight w:val="white"/>
        </w:rPr>
      </w:r>
    </w:p>
    <w:p>
      <w:pPr>
        <w:pStyle w:val="996"/>
        <w:jc w:val="center"/>
        <w:spacing w:line="240" w:lineRule="exact"/>
        <w:rPr>
          <w:b/>
          <w:bCs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V</w:t>
      </w:r>
      <w:r>
        <w:rPr>
          <w:b/>
          <w:bCs/>
          <w:sz w:val="28"/>
          <w:szCs w:val="28"/>
          <w:highlight w:val="white"/>
          <w:lang w:val="ru-RU"/>
        </w:rPr>
        <w:t xml:space="preserve">. Порядок формирования и размещения </w:t>
      </w:r>
      <w:r>
        <w:rPr>
          <w:b/>
          <w:bCs/>
          <w:sz w:val="28"/>
          <w:szCs w:val="28"/>
          <w:highlight w:val="white"/>
          <w:lang w:val="ru-RU"/>
        </w:rPr>
        <w:br/>
        <w:t xml:space="preserve">объявления о проведении отбора</w:t>
      </w:r>
      <w:r>
        <w:rPr>
          <w:b/>
          <w:bCs/>
          <w:highlight w:val="white"/>
          <w:lang w:val="ru-RU"/>
        </w:rPr>
      </w:r>
    </w:p>
    <w:p>
      <w:pPr>
        <w:pStyle w:val="996"/>
        <w:jc w:val="center"/>
        <w:rPr>
          <w:b/>
          <w:bCs/>
          <w:highlight w:val="white"/>
          <w:lang w:val="ru-RU"/>
        </w:rPr>
      </w:pPr>
      <w:r>
        <w:rPr>
          <w:b/>
          <w:bCs/>
          <w:highlight w:val="white"/>
          <w:lang w:val="ru-RU"/>
        </w:rPr>
      </w:r>
      <w:r>
        <w:rPr>
          <w:b/>
          <w:bCs/>
          <w:highlight w:val="white"/>
          <w:lang w:val="ru-RU"/>
        </w:rPr>
      </w:r>
    </w:p>
    <w:p>
      <w:pPr>
        <w:pStyle w:val="996"/>
        <w:ind w:firstLine="72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5.1. Объявление о проведении отбора размещается главным распорядителем на едином портале не позднее чем за 10 календарных дней до наступления даты начала подачи заявок.</w:t>
      </w:r>
      <w:r>
        <w:rPr>
          <w:sz w:val="28"/>
          <w:szCs w:val="28"/>
          <w:highlight w:val="white"/>
          <w:lang w:val="ru-RU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5.2.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</w:t>
      </w:r>
      <w:r>
        <w:rPr>
          <w:sz w:val="28"/>
          <w:szCs w:val="28"/>
          <w:highlight w:val="white"/>
        </w:rPr>
        <w:t xml:space="preserve">ается усиленной квалифицированной электронной подписью руководителя главного распорядителя (уполномоченного им лица), размещается на едином портале, а также на официальном сайте муниципального образования город Пермь и включает в себя следующую информацию: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сроки проведения отбора: не более 60 календарных дней, при этом: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дата начала проведения отбора –</w:t>
      </w:r>
      <w:r>
        <w:rPr>
          <w:sz w:val="28"/>
          <w:szCs w:val="28"/>
          <w:highlight w:val="white"/>
        </w:rPr>
        <w:t xml:space="preserve"> день размещения на едином портале объявления о проведении отбора;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дата</w:t>
      </w:r>
      <w:r>
        <w:rPr>
          <w:sz w:val="28"/>
          <w:szCs w:val="28"/>
          <w:highlight w:val="white"/>
        </w:rPr>
        <w:t xml:space="preserve"> окончания проведения отбора –</w:t>
      </w:r>
      <w:r>
        <w:rPr>
          <w:sz w:val="28"/>
          <w:szCs w:val="28"/>
          <w:highlight w:val="white"/>
        </w:rPr>
        <w:t xml:space="preserve"> день заключения Договора;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дату начала подачи заявок уча</w:t>
      </w:r>
      <w:r>
        <w:rPr>
          <w:sz w:val="28"/>
          <w:szCs w:val="28"/>
          <w:highlight w:val="white"/>
        </w:rPr>
        <w:t xml:space="preserve">стников отбора – не ранее 11</w:t>
      </w:r>
      <w:r>
        <w:rPr>
          <w:sz w:val="28"/>
          <w:szCs w:val="28"/>
          <w:highlight w:val="white"/>
        </w:rPr>
        <w:t xml:space="preserve"> календарного дня со дня размещения объявления о проведении отбора;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дату окончания приема заявок уча</w:t>
      </w:r>
      <w:r>
        <w:rPr>
          <w:sz w:val="28"/>
          <w:szCs w:val="28"/>
          <w:highlight w:val="white"/>
        </w:rPr>
        <w:t xml:space="preserve">стником отбора – не ранее 20</w:t>
      </w:r>
      <w:r>
        <w:rPr>
          <w:sz w:val="28"/>
          <w:szCs w:val="28"/>
          <w:highlight w:val="white"/>
        </w:rPr>
        <w:t xml:space="preserve"> календарного дня со дня размещения объявления о проведении отбора;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rStyle w:val="895"/>
          <w:color w:val="000000" w:themeColor="text1"/>
          <w:sz w:val="28"/>
          <w:szCs w:val="28"/>
          <w:highlight w:val="white"/>
          <w:u w:val="none"/>
        </w:rPr>
      </w:pPr>
      <w:r>
        <w:rPr>
          <w:sz w:val="28"/>
          <w:szCs w:val="28"/>
          <w:highlight w:val="white"/>
        </w:rPr>
        <w:t xml:space="preserve">наименование, место нахождения, почтовый адрес, адрес электронной почты главного распорядителя, – департамент общественной безопасности администрации города Перми, 618400,</w:t>
      </w:r>
      <w:r>
        <w:rPr>
          <w:sz w:val="28"/>
          <w:szCs w:val="28"/>
          <w:highlight w:val="white"/>
        </w:rPr>
        <w:t xml:space="preserve"> г. Пермь, ул. Сибирская, д. 10,</w:t>
      </w:r>
      <w:r>
        <w:rPr>
          <w:sz w:val="28"/>
          <w:szCs w:val="28"/>
          <w:highlight w:val="white"/>
        </w:rPr>
        <w:t xml:space="preserve"> </w:t>
      </w:r>
      <w:hyperlink r:id="rId58" w:tooltip="http://dob@gorodperm.ru" w:history="1">
        <w:r>
          <w:rPr>
            <w:rStyle w:val="895"/>
            <w:color w:val="000000" w:themeColor="text1"/>
            <w:sz w:val="28"/>
            <w:szCs w:val="28"/>
            <w:highlight w:val="white"/>
            <w:u w:val="none"/>
          </w:rPr>
          <w:t xml:space="preserve">dob@perm.permkrai.ru</w:t>
        </w:r>
      </w:hyperlink>
      <w:r>
        <w:rPr>
          <w:rStyle w:val="895"/>
          <w:color w:val="000000" w:themeColor="text1"/>
          <w:sz w:val="28"/>
          <w:szCs w:val="28"/>
          <w:highlight w:val="white"/>
          <w:u w:val="none"/>
        </w:rPr>
        <w:t xml:space="preserve">;</w:t>
      </w:r>
      <w:r>
        <w:rPr>
          <w:rStyle w:val="895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Результаты в соответствии с пунктом 2.8 настоящего Порядка;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требования к участникам отбора в соответствии с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пунктом 2.2</w:t>
      </w:r>
      <w:r>
        <w:rPr>
          <w:color w:val="000000"/>
          <w:sz w:val="28"/>
          <w:szCs w:val="28"/>
          <w:highlight w:val="white"/>
        </w:rPr>
        <w:t xml:space="preserve"> настоящего Порядка, </w:t>
      </w:r>
      <w:r>
        <w:rPr>
          <w:sz w:val="28"/>
          <w:szCs w:val="28"/>
          <w:highlight w:val="white"/>
        </w:rPr>
        <w:t xml:space="preserve">и к перечню документов, указанных в пункте 2.4 настоящего Порядка и представляемых участниками отбора для подтверждения соответствия требованиям, установленным пунктом 2.2 настоящего Порядка;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критерии отбора для предоставления субсидии в соответствии с пунктом 2.3 настоящего Порядка;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подачи участниками отбора заявок и требования, предъявляемые </w:t>
      </w:r>
      <w:r>
        <w:rPr>
          <w:sz w:val="28"/>
          <w:szCs w:val="28"/>
          <w:highlight w:val="white"/>
        </w:rPr>
        <w:br/>
        <w:t xml:space="preserve">к форме и содержанию заявок в соответствии с пунктами 7.2-7.5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пунктами 7.9, 7.10 настоящего Порядка;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правила рассмо</w:t>
      </w:r>
      <w:r>
        <w:rPr>
          <w:sz w:val="28"/>
          <w:szCs w:val="28"/>
          <w:highlight w:val="white"/>
        </w:rPr>
        <w:t xml:space="preserve">трения заявок в соответствии с </w:t>
      </w:r>
      <w:r>
        <w:rPr>
          <w:sz w:val="28"/>
          <w:szCs w:val="28"/>
          <w:highlight w:val="white"/>
        </w:rPr>
        <w:t xml:space="preserve">пунктами 8.1-8.6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shd w:val="clear" w:color="ffffff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возврата заявок участникам отбора на доработку в соответствии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пунктом 7.8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отклонения заявок, а также информацию об основаниях их отклонения в соответствии с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пунктами 8.5, 8.6</w:t>
      </w:r>
      <w:r>
        <w:rPr>
          <w:color w:val="000000"/>
          <w:sz w:val="28"/>
          <w:szCs w:val="28"/>
          <w:highlight w:val="white"/>
        </w:rPr>
        <w:t xml:space="preserve"> настоящ</w:t>
      </w:r>
      <w:r>
        <w:rPr>
          <w:sz w:val="28"/>
          <w:szCs w:val="28"/>
          <w:highlight w:val="white"/>
        </w:rPr>
        <w:t xml:space="preserve">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объем распределяемой субсидии в </w:t>
      </w:r>
      <w:r>
        <w:rPr>
          <w:sz w:val="28"/>
          <w:szCs w:val="28"/>
          <w:highlight w:val="white"/>
        </w:rPr>
        <w:t xml:space="preserve">рамках отбора, порядок расчета размера субсидии, правила распределения субсидии по результатам отбора в соответствии с пунктами 2.7, 8.16 настоящего Порядка, а также предельное количество победителей отбора в соответствии с пунктом 2.1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</w:r>
      <w:r>
        <w:rPr>
          <w:sz w:val="28"/>
          <w:szCs w:val="28"/>
          <w:highlight w:val="white"/>
        </w:rPr>
        <w:t xml:space="preserve">в соответствии с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пунктами 7.11</w:t>
      </w:r>
      <w:r>
        <w:rPr>
          <w:color w:val="000000"/>
          <w:sz w:val="28"/>
          <w:szCs w:val="28"/>
          <w:highlight w:val="white"/>
        </w:rPr>
        <w:t xml:space="preserve">, 7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.12</w:t>
      </w:r>
      <w:r>
        <w:rPr>
          <w:color w:val="000000"/>
          <w:sz w:val="28"/>
          <w:szCs w:val="28"/>
          <w:highlight w:val="white"/>
        </w:rPr>
        <w:t xml:space="preserve"> настоящего Порядка;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срок, в течение которого победитель (победители) отбора должен (должны) подписать Договор </w:t>
      </w:r>
      <w:r>
        <w:rPr>
          <w:sz w:val="28"/>
          <w:szCs w:val="28"/>
          <w:highlight w:val="white"/>
        </w:rPr>
        <w:t xml:space="preserve">в соответствии с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пунктом </w:t>
      </w:r>
      <w:r>
        <w:rPr>
          <w:color w:val="000000"/>
          <w:sz w:val="28"/>
          <w:szCs w:val="28"/>
          <w:highlight w:val="white"/>
        </w:rPr>
        <w:t xml:space="preserve">2.10 настоящего Порядка;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условия признания победителя (победителей) отбора уклонившимся </w:t>
      </w:r>
      <w:r>
        <w:rPr>
          <w:sz w:val="28"/>
          <w:szCs w:val="28"/>
          <w:highlight w:val="white"/>
        </w:rPr>
        <w:t xml:space="preserve">(уклонившимися) </w:t>
      </w:r>
      <w:r>
        <w:rPr>
          <w:sz w:val="28"/>
          <w:szCs w:val="28"/>
          <w:highlight w:val="white"/>
        </w:rPr>
        <w:t xml:space="preserve">от заключения Договора в соответствии с пунктом 9.5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сроки размещения протокола подведения итогов отбора на едином портале, а также на официальном сайте муниципального образования город Пермь в сети Интернет в соответствии с пунктом 8.17 настоящего Порядка.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5.3. Внесение изменений в объявление о проведении отбора осуществляется не позднее наступления даты окончания приема заявок участников отбора, при этом срок подачи участниками отбора заявок должен быть продлен таки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внесении изменений в объявление о проведении отбора изменение способа отбора Получателей субсидии не допускается.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внесения изменений в объявление о проведении отбора после наступления даты начала приема заявок в объявлении о проведении отбора включается положение, предусматривающее право участников отбора внести изменения в заявки.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Участники отбора, подавшие заявки, уведомляются о внесении изменений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>
        <w:rPr>
          <w:sz w:val="28"/>
          <w:szCs w:val="28"/>
          <w:highlight w:val="white"/>
        </w:rPr>
      </w:r>
    </w:p>
    <w:p>
      <w:pPr>
        <w:pStyle w:val="995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5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VI. Порядок отмены проведения отбора</w:t>
      </w:r>
      <w:r>
        <w:rPr>
          <w:sz w:val="28"/>
          <w:szCs w:val="28"/>
          <w:highlight w:val="white"/>
        </w:rPr>
      </w:r>
    </w:p>
    <w:p>
      <w:pPr>
        <w:pStyle w:val="995"/>
        <w:jc w:val="center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6.1. Отмена проведения отбора осуществляется в случаях, связанных </w:t>
      </w:r>
      <w:r>
        <w:rPr>
          <w:sz w:val="28"/>
          <w:szCs w:val="28"/>
          <w:highlight w:val="white"/>
        </w:rPr>
        <w:br/>
        <w:t xml:space="preserve">с технической невозможностью использования функционала системы «Электронный бюджет».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6.2. Размещение</w:t>
      </w:r>
      <w:r>
        <w:rPr>
          <w:sz w:val="28"/>
          <w:szCs w:val="28"/>
          <w:highlight w:val="white"/>
        </w:rPr>
        <w:t xml:space="preserve"> главным распорядителем объявления об отмене проведения отбора на едином портале, а также на официальном сайте муниципального образования город Пермь осуществляется не позднее чем за 1 рабочий день до даты окончания срока подачи заявок участниками отбора.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6.3.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</w:t>
      </w:r>
      <w:r>
        <w:rPr>
          <w:sz w:val="28"/>
          <w:szCs w:val="28"/>
          <w:highlight w:val="white"/>
        </w:rPr>
        <w:t xml:space="preserve">ленной квалифицированной электронной подписью руководителя главного распорядителя (уполномоченного им лица), размещается на едином портале, а также на официальном сайте муниципального образования город Пермь и содержит информацию о причинах отмены отбора.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6.4. Участники отбора, подавшие заявки, информируются об отмене проведения отбора в системе «Электронный бюджет».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6.5. Отбор считается отмененным со дня размещения объявления о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 его отмене на едином портале. </w:t>
      </w:r>
      <w:r>
        <w:rPr>
          <w:sz w:val="28"/>
          <w:szCs w:val="28"/>
          <w:highlight w:val="white"/>
        </w:rPr>
      </w:r>
    </w:p>
    <w:p>
      <w:pPr>
        <w:pStyle w:val="995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5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VII. Порядок формирования и подачи участниками отбора заявок </w:t>
      </w:r>
      <w:r>
        <w:rPr>
          <w:b/>
          <w:bCs/>
          <w:sz w:val="28"/>
          <w:szCs w:val="28"/>
          <w:highlight w:val="white"/>
        </w:rPr>
      </w:r>
    </w:p>
    <w:p>
      <w:pPr>
        <w:pStyle w:val="995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7.1. К участию </w:t>
      </w:r>
      <w:r>
        <w:rPr>
          <w:sz w:val="28"/>
          <w:szCs w:val="28"/>
          <w:highlight w:val="white"/>
        </w:rPr>
        <w:t xml:space="preserve">в отборе допускаются общественные объединения, внесенные в региональный реестр народных дружин и общественных объединений правоохранительной направленности, соответствующие на дату рассмотрения заявки требованиям, указанным в пункте 2.2 настоящего Порядка.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7.2.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</w:t>
      </w:r>
      <w:r>
        <w:rPr>
          <w:sz w:val="28"/>
          <w:szCs w:val="28"/>
          <w:highlight w:val="white"/>
        </w:rPr>
        <w:t xml:space="preserve">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в соответствии с пунктом 2.4 настоящего Порядка.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7.3.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7.4.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sz w:val="28"/>
          <w:szCs w:val="28"/>
          <w:highlight w:val="white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7.5. Заявка содержит следующие сведения:</w:t>
      </w:r>
      <w:r>
        <w:rPr>
          <w:sz w:val="28"/>
          <w:szCs w:val="28"/>
          <w:highlight w:val="white"/>
        </w:rPr>
      </w:r>
    </w:p>
    <w:p>
      <w:pPr>
        <w:pStyle w:val="997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информацию об участнике отбора: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полное и сокращенное наименование участника отбора;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основной государственный регистр</w:t>
      </w:r>
      <w:r>
        <w:rPr>
          <w:sz w:val="28"/>
          <w:szCs w:val="28"/>
          <w:highlight w:val="white"/>
        </w:rPr>
        <w:t xml:space="preserve">ационный номер участника отбора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идентификационный номер налогоплательщика;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дата и код причины постан</w:t>
      </w:r>
      <w:r>
        <w:rPr>
          <w:sz w:val="28"/>
          <w:szCs w:val="28"/>
          <w:highlight w:val="white"/>
        </w:rPr>
        <w:t xml:space="preserve">овки на учет в налоговом органе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адрес юридического лица;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Договора;</w:t>
      </w:r>
      <w:r>
        <w:rPr>
          <w:sz w:val="28"/>
          <w:szCs w:val="28"/>
          <w:highlight w:val="white"/>
        </w:rPr>
      </w:r>
    </w:p>
    <w:p>
      <w:pPr>
        <w:pStyle w:val="997"/>
        <w:ind w:firstLine="709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документы, подтверждающие соответствие участника отбора требованиям, установленным пунктом 2.2 настоящего Порядка, в соответствии с пунктом 2.4 настоящего Порядка,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предлагаемые участником отбора значения Результатов предоставления субсидии и размер запрашиваемой субсидии.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7.7.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7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7.8. Заяв</w:t>
      </w:r>
      <w:r>
        <w:rPr>
          <w:color w:val="000000"/>
          <w:sz w:val="28"/>
          <w:szCs w:val="28"/>
          <w:highlight w:val="white"/>
        </w:rPr>
        <w:t xml:space="preserve">ка возвращается участнику отбора на доработку в период проведения приема заявок путем изменения статуса заявки в системе «Электронный бюджет» в случае непредставления (представления не в полном) объеме документов, указанных в пункте 2.4 настоящего Порядка.</w:t>
      </w:r>
      <w:r>
        <w:rPr>
          <w:color w:val="000000"/>
          <w:sz w:val="27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rFonts w:ascii="Arial" w:hAnsi="Arial" w:eastAsia="Arial" w:cs="Arial"/>
          <w:sz w:val="27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После возврата заявки на доработку участник отбора направляет скорректированную заявку в срок не позднее даты окончания приема заявок.</w:t>
      </w:r>
      <w:r>
        <w:rPr>
          <w:rFonts w:ascii="Arial" w:hAnsi="Arial" w:eastAsia="Arial" w:cs="Arial"/>
          <w:sz w:val="27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7.9.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пунктах 7.2, 7.3</w:t>
      </w:r>
      <w:r>
        <w:rPr>
          <w:color w:val="000000"/>
          <w:sz w:val="28"/>
          <w:szCs w:val="28"/>
          <w:highlight w:val="white"/>
        </w:rPr>
        <w:t xml:space="preserve"> настоящего Порядка.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7.10. При принятии участником </w:t>
      </w:r>
      <w:r>
        <w:rPr>
          <w:sz w:val="28"/>
          <w:szCs w:val="28"/>
          <w:highlight w:val="white"/>
        </w:rPr>
        <w:t xml:space="preserve">отбора решения об отзыве заявки</w:t>
      </w:r>
      <w:r>
        <w:rPr>
          <w:sz w:val="28"/>
          <w:szCs w:val="28"/>
          <w:highlight w:val="white"/>
        </w:rPr>
        <w:t xml:space="preserve"> участник отбора направляет главному распорядителю уведомление об отзыве заявки, но не позднее 1 рабочего дня до дня окончания приема заявок участников отбора.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принятии участником отбор</w:t>
      </w:r>
      <w:r>
        <w:rPr>
          <w:sz w:val="28"/>
          <w:szCs w:val="28"/>
          <w:highlight w:val="white"/>
        </w:rPr>
        <w:t xml:space="preserve">а решения о необходимости внесения изменений в заявку в период проведения приема заявок участник отбора направляет главному распорядителю уведомление о необходимости внесения изменений в заявку, но не позднее 3 рабочих дней до даты окончания приема заявок.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Главный распорядитель в течение 1 рабочего дня со дня поступления уведомления о необходимости внесения изменений в заявку или об отзыве заявки возвращает данную заявку участнику отбора с использованием системы «Электронный бюджет».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7.11. Любой участник отбора со дня размещения объявления о проведении отбора на едином портале не позднее 3 рабочего дня до дня окончания срока подачи заявок вправе направить главному распорядителю не более 5 запросов </w:t>
      </w:r>
      <w:r>
        <w:rPr>
          <w:sz w:val="28"/>
          <w:szCs w:val="28"/>
          <w:highlight w:val="white"/>
        </w:rPr>
        <w:br/>
        <w:t xml:space="preserve">о разъяснении положений объявления о проведении отбора путем формирования в системе «Электронный бюджет» соответствующего запроса.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7.12. Главный распорядитель в ответ на запрос, указанный в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пункте 7.11</w:t>
      </w:r>
      <w:r>
        <w:rPr>
          <w:color w:val="000000"/>
          <w:sz w:val="28"/>
          <w:szCs w:val="28"/>
          <w:highlight w:val="white"/>
        </w:rPr>
        <w:t xml:space="preserve"> настоящего Порядка, направляет разъяснение положений объявления о проведении </w:t>
      </w:r>
      <w:r>
        <w:rPr>
          <w:color w:val="000000"/>
          <w:sz w:val="28"/>
          <w:szCs w:val="28"/>
          <w:highlight w:val="white"/>
        </w:rPr>
        <w:t xml:space="preserve">отбора в срок, установленный указанным объявлением, но не позднее 1 рабочего дня до дня окончания срока по</w:t>
      </w:r>
      <w:r>
        <w:rPr>
          <w:color w:val="000000"/>
          <w:sz w:val="28"/>
          <w:szCs w:val="28"/>
          <w:highlight w:val="white"/>
        </w:rPr>
        <w:t xml:space="preserve">дачи заявок путем формирования в системе «Электронный бюджет» соответствующего разъяснения. Представленное главным распорядителем разъяснение положений объявления о проведении отбора не должно изменять суть информации, содержащейся в указанном объявлении.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Доступ к разъяснению, формируемому в системе «Электронный бюджет»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соответствии с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абзацем первым</w:t>
      </w:r>
      <w:r>
        <w:rPr>
          <w:color w:val="000000"/>
          <w:sz w:val="28"/>
          <w:szCs w:val="28"/>
          <w:highlight w:val="white"/>
        </w:rPr>
        <w:t xml:space="preserve"> настоящего пункта, предоставляется всем участникам отбора.</w:t>
      </w:r>
      <w:r>
        <w:rPr>
          <w:color w:val="000000"/>
          <w:sz w:val="28"/>
          <w:szCs w:val="28"/>
          <w:highlight w:val="white"/>
        </w:rPr>
      </w:r>
    </w:p>
    <w:p>
      <w:pPr>
        <w:pStyle w:val="997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7.13. Обеспечение доступа к системе «Электронный бюджет» осуществляется с использованием федеральной государственной информа</w:t>
      </w:r>
      <w:r>
        <w:rPr>
          <w:color w:val="000000"/>
          <w:sz w:val="28"/>
          <w:szCs w:val="28"/>
          <w:highlight w:val="white"/>
        </w:rPr>
        <w:t xml:space="preserve">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  <w:r>
        <w:rPr>
          <w:color w:val="000000"/>
          <w:sz w:val="28"/>
          <w:szCs w:val="28"/>
          <w:highlight w:val="white"/>
        </w:rPr>
      </w:r>
    </w:p>
    <w:p>
      <w:pPr>
        <w:pStyle w:val="997"/>
        <w:ind w:firstLine="709"/>
        <w:jc w:val="both"/>
        <w:spacing w:before="0" w:beforeAutospacing="0" w:after="0" w:afterAutospacing="0" w:line="288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7.14. Взаимодействие главного распорядителя с участниками отбора осуществляется с использованием документов в электронной форме в системе «Электронный бюджет».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jc w:val="center"/>
        <w:spacing w:before="0" w:beforeAutospacing="0" w:after="0" w:afterAutospacing="0" w:line="240" w:lineRule="exact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VIII. Порядок рассмотрения заявок, а также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</w:p>
    <w:p>
      <w:pPr>
        <w:pStyle w:val="995"/>
        <w:jc w:val="center"/>
        <w:spacing w:before="0" w:beforeAutospacing="0" w:after="0" w:afterAutospacing="0" w:line="240" w:lineRule="exact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определения победителей отбора</w:t>
      </w:r>
      <w:r>
        <w:rPr>
          <w:sz w:val="28"/>
          <w:szCs w:val="28"/>
          <w:highlight w:val="white"/>
        </w:rPr>
      </w:r>
    </w:p>
    <w:p>
      <w:pPr>
        <w:pStyle w:val="995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8.1. Рассмотрение заявок участников отбора осуществляется главным распорядителем в системе «Электронный бюджет».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8.2</w:t>
      </w:r>
      <w:r>
        <w:rPr>
          <w:color w:val="000000"/>
          <w:sz w:val="28"/>
          <w:szCs w:val="28"/>
          <w:highlight w:val="white"/>
        </w:rPr>
        <w:t xml:space="preserve">. Главный распорядитель не позднее 1 рабочего дня, следующего за днем окончания срока подачи заявок, установленного в объявлении о проведении отбора в системе «Электронный бюджет», вскрывает и приступает к рассмотрению заявок, поданных участниками отбора.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о проведении отбора в системе «Электронный бюджет».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8.3. Протокол вскрытия заявок формируется автоматически на едином портале, подписывается усиленной квалифицированной электронной подписью руководителя главного распорядителя (уполномоченного им лица) в системе «Электронный б</w:t>
      </w:r>
      <w:r>
        <w:rPr>
          <w:sz w:val="28"/>
          <w:szCs w:val="28"/>
          <w:highlight w:val="white"/>
        </w:rPr>
        <w:t xml:space="preserve">юджет» не позднее 1 рабочего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дня </w:t>
      </w:r>
      <w:bookmarkStart w:id="0" w:name="_GoBack"/>
      <w:r/>
      <w:bookmarkEnd w:id="0"/>
      <w:r>
        <w:rPr>
          <w:sz w:val="28"/>
          <w:szCs w:val="28"/>
          <w:highlight w:val="white"/>
        </w:rPr>
        <w:t xml:space="preserve">со дня формирования, а также размещается на едином портале не позднее 1 рабочего дня, следующего за днем его подписания.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trike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8.4. Решение о соответствии заявки требованиям, указанным в пунктах </w:t>
      </w:r>
      <w:r>
        <w:rPr>
          <w:sz w:val="28"/>
          <w:szCs w:val="28"/>
          <w:highlight w:val="white"/>
        </w:rPr>
        <w:br/>
        <w:t xml:space="preserve">7.2-7.5 настоящего Порядка, принимается главным распорядителем </w:t>
      </w:r>
      <w:r>
        <w:rPr>
          <w:color w:val="000000" w:themeColor="text1"/>
          <w:sz w:val="28"/>
          <w:szCs w:val="28"/>
          <w:highlight w:val="white"/>
        </w:rPr>
        <w:t xml:space="preserve">на дату получения результатов проверки представленных участником отбора информации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и документов, поданных в составе заявки. </w:t>
      </w:r>
      <w:r>
        <w:rPr>
          <w:strike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8.5. При наличии оснований для отклонения заявки, предусмотренных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пункте 8.6 настоящего Порядка, главный распорядитель отклоняет заявку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и направляет не позднее 1 рабочего дня уведомление об отклонении заявки участнику отбора с использованием системы «Электронный бюджет» с указанием оснований для отклонения заявки.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trike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8.6. Основаниями для отклонения заявки являются: </w:t>
      </w:r>
      <w:r>
        <w:rPr>
          <w:strike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участника отбора требованиям, указанным в пункте 2.2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 объявлении о проведении отбора в соответствии с пунктом 2.4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 в соответствии с пунктами 7.2-7.5 настоящего Порядка;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пунктом 2.2 настоящего Порядка требованиям;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подача участником отбора заявки после даты, определенной для подачи заявок;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участника отбора критериям отбора, установленным пунктом 2.3 настоящего Порядка.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8.7.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</w:t>
      </w:r>
      <w:r>
        <w:rPr>
          <w:sz w:val="28"/>
          <w:szCs w:val="28"/>
          <w:highlight w:val="white"/>
        </w:rPr>
        <w:t xml:space="preserve">им документам и информации, главным распорядителем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8.8. В запросе, указанном в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пункте 8.7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настоящего Порядка, главный распорядитель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8.9. Участник отбора формирует и представляет в систему «Электронный бюджет» информацию и документы, запрашиваемые в соответствии с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пунктом 8.7</w:t>
      </w:r>
      <w:r>
        <w:rPr>
          <w:color w:val="000000"/>
          <w:sz w:val="28"/>
          <w:szCs w:val="28"/>
          <w:highlight w:val="white"/>
        </w:rPr>
        <w:t xml:space="preserve"> настоящего Порядка, в сроки, установленные соответствующим запросом с учетом положений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пункта 8.8</w:t>
      </w:r>
      <w:r>
        <w:rPr>
          <w:color w:val="000000"/>
          <w:sz w:val="28"/>
          <w:szCs w:val="28"/>
          <w:highlight w:val="white"/>
        </w:rPr>
        <w:t xml:space="preserve"> настоящего Порядка.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8.10. В случае если участник отбора в ответ на запрос, указанный в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пункте 8.7</w:t>
      </w:r>
      <w:r>
        <w:rPr>
          <w:color w:val="000000"/>
          <w:sz w:val="28"/>
          <w:szCs w:val="28"/>
          <w:highlight w:val="white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пункта 8.8</w:t>
      </w:r>
      <w:r>
        <w:rPr>
          <w:color w:val="000000"/>
          <w:sz w:val="28"/>
          <w:szCs w:val="28"/>
          <w:highlight w:val="white"/>
        </w:rPr>
        <w:t xml:space="preserve"> настоящего Порядка, информация об этом включается в протокол подведения итогов отбора, предусмотренный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пунктом 8.</w:t>
      </w:r>
      <w:r>
        <w:rPr>
          <w:color w:val="000000"/>
          <w:sz w:val="28"/>
          <w:szCs w:val="28"/>
          <w:highlight w:val="white"/>
        </w:rPr>
        <w:t xml:space="preserve">15 настоящего Порядка.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8.11. Отбор признается несостоявшимся в следующих случаях: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подана только одна заявка;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отбора;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не подано ни одной заявки;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рассмотрения заявок отклонены все заявки.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8.12. Договор заключается с участником отбора, признанного несостоявшимся,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8.13. Ранжирование поступивших заявок осуществляется по очередности поступления заявок.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8.14. Победителями отбора признаются участники отбора, включенные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рейтинг, сформированный главным распорядителем по результатам ранжирования поступивших заявок с учетом абзацев второго и третьего пункта 2.1 настоящего Порядка, и в пределах объема распределяемой субсидии, указанного в пункте 2.7 настоящего Порядка.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8.15. В целях завершения отбора и определения победителей отбора формируется протокол подведения итогов отбора, включающий дату, время и место проведения рассмотрения заявок, информацию об участниках отбора, заявки которых были рассмотрены, информа</w:t>
      </w:r>
      <w:r>
        <w:rPr>
          <w:color w:val="000000"/>
          <w:sz w:val="28"/>
          <w:szCs w:val="28"/>
          <w:highlight w:val="white"/>
        </w:rPr>
        <w:t xml:space="preserve">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наименование получателя (получателей) субсидии, с которыми заключается Договор</w:t>
      </w:r>
      <w:r>
        <w:rPr>
          <w:color w:val="000000"/>
          <w:sz w:val="28"/>
          <w:szCs w:val="28"/>
          <w:highlight w:val="white"/>
        </w:rPr>
        <w:t xml:space="preserve">,</w:t>
      </w:r>
      <w:r>
        <w:rPr>
          <w:color w:val="000000"/>
          <w:sz w:val="28"/>
          <w:szCs w:val="28"/>
          <w:highlight w:val="white"/>
        </w:rPr>
        <w:t xml:space="preserve"> и размер предоставляемой субсидии.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8.16. Субсидия, распределяемая в рамках отбора, распределяется между участниками отбора, включенными в рейтинг, указанный в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пункте 8.1</w:t>
      </w:r>
      <w:r>
        <w:rPr>
          <w:color w:val="000000"/>
          <w:sz w:val="28"/>
          <w:szCs w:val="28"/>
          <w:highlight w:val="white"/>
        </w:rPr>
        <w:t xml:space="preserve">4 настоящего Порядка, в размере субсидии, указанном им в заявке, не превышающем пределов объема распределения субсидии, указанном в пункте 2.7 настоящего Порядка.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8.17. Про</w:t>
      </w:r>
      <w:r>
        <w:rPr>
          <w:sz w:val="28"/>
          <w:szCs w:val="28"/>
          <w:highlight w:val="white"/>
        </w:rPr>
        <w:t xml:space="preserve">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(уполномоченного им лица</w:t>
      </w:r>
      <w:r>
        <w:rPr>
          <w:sz w:val="28"/>
          <w:szCs w:val="28"/>
          <w:highlight w:val="white"/>
        </w:rPr>
        <w:t xml:space="preserve">) в системе «Электронный бюджет» не позднее 1 рабочего для со дня формирования, а также размещается на едином портале, на официальном сайте муниципального образования город Пермь в сети Интернет не позднее 1 рабочего дня, следующего за днем его подписания.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8.18. Внесение изменени</w:t>
      </w:r>
      <w:r>
        <w:rPr>
          <w:sz w:val="28"/>
          <w:szCs w:val="28"/>
          <w:highlight w:val="white"/>
        </w:rPr>
        <w:t xml:space="preserve">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изменений.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5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95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IX. Порядок взаимодействия главного распорядителя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с победителем </w:t>
      </w:r>
      <w:r>
        <w:rPr>
          <w:b/>
          <w:bCs/>
          <w:sz w:val="28"/>
          <w:szCs w:val="28"/>
          <w:highlight w:val="white"/>
        </w:rPr>
      </w:r>
    </w:p>
    <w:p>
      <w:pPr>
        <w:pStyle w:val="995"/>
        <w:jc w:val="center"/>
        <w:spacing w:before="0" w:beforeAutospacing="0" w:after="0" w:afterAutospacing="0" w:line="240" w:lineRule="exact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(победителями) отбора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по результатам его проведения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9.1. По результатам отбора с победителем (победителями) отбора заключается Договор в соответствии с </w:t>
      </w:r>
      <w:bookmarkStart w:id="1" w:name="undefined"/>
      <w:r/>
      <w:bookmarkEnd w:id="1"/>
      <w:r>
        <w:rPr>
          <w:color w:val="000000"/>
          <w:sz w:val="28"/>
          <w:szCs w:val="28"/>
          <w:highlight w:val="white"/>
        </w:rPr>
        <w:t xml:space="preserve">пунктами 2.9, 2.10 настоящего Порядка.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9.2. Гл</w:t>
      </w:r>
      <w:r>
        <w:rPr>
          <w:color w:val="000000"/>
          <w:sz w:val="28"/>
          <w:szCs w:val="28"/>
          <w:highlight w:val="white"/>
        </w:rPr>
        <w:t xml:space="preserve">авный распорядитель отказывается от заключения Договора с победителем отбора в случае обнаружения факта несоответствия победителя отбора требованиям, указанным в пункте 2.2 настоящего Порядка, или представления победителем отбора недостоверной информации.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9.3. В случае отказа главного распорядителя от заключения Договора с победителем отбора по основаниям, предусмотренным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пунктом 9.2</w:t>
      </w:r>
      <w:r>
        <w:rPr>
          <w:color w:val="000000"/>
          <w:sz w:val="28"/>
          <w:szCs w:val="28"/>
          <w:highlight w:val="white"/>
        </w:rPr>
        <w:t xml:space="preserve"> настоящего Порядка, отказа победителя отбора от заключения Договора, уклонения от подписания победителем отбора Договора в срок, определенный </w:t>
      </w:r>
      <w:r>
        <w:rPr>
          <w:rStyle w:val="895"/>
          <w:rFonts w:eastAsia="Arial"/>
          <w:color w:val="000000"/>
          <w:sz w:val="28"/>
          <w:szCs w:val="28"/>
          <w:highlight w:val="white"/>
          <w:u w:val="none"/>
        </w:rPr>
        <w:t xml:space="preserve">пунктом </w:t>
      </w:r>
      <w:r>
        <w:rPr>
          <w:color w:val="000000"/>
          <w:sz w:val="28"/>
          <w:szCs w:val="28"/>
          <w:highlight w:val="white"/>
        </w:rPr>
        <w:t xml:space="preserve">2.9 настоящего </w:t>
      </w:r>
      <w:r>
        <w:rPr>
          <w:color w:val="000000"/>
          <w:sz w:val="28"/>
          <w:szCs w:val="28"/>
          <w:highlight w:val="white"/>
        </w:rPr>
        <w:t xml:space="preserve">Порядка, главный распорядитель заключает Договор с участником отбора, заявка которого имеет следующий в порядке убывания рейтинг заявки после последнего участника отбора, признанного победителем.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9.4. В случаях наличия по результатам проведения отбора остатка лимитов бюджетных обязательств в пределах об</w:t>
      </w:r>
      <w:r>
        <w:rPr>
          <w:color w:val="000000"/>
          <w:sz w:val="28"/>
          <w:szCs w:val="28"/>
          <w:highlight w:val="white"/>
        </w:rPr>
        <w:t xml:space="preserve">ъемов финансирования на предоставление субсидии, предусмотренных на материальное стимулирование деятельности народных дружинников на соответствующий финансовый год, не распределенного между победителями отбора, увеличения лимитов бюджетных обязательств, от</w:t>
      </w:r>
      <w:r>
        <w:rPr>
          <w:color w:val="000000"/>
          <w:sz w:val="28"/>
          <w:szCs w:val="28"/>
          <w:highlight w:val="white"/>
        </w:rPr>
        <w:t xml:space="preserve">каза победителя отбора от заключения Договора, расторжения Договора с Получателем субсидии главный распорядитель принимает решение о проведении дополнительного отбора в соответствии с положениями настоящего Порядка, предусмотренными для проведения отбора. </w:t>
      </w:r>
      <w:r>
        <w:rPr>
          <w:color w:val="000000"/>
          <w:sz w:val="28"/>
          <w:szCs w:val="28"/>
          <w:highlight w:val="white"/>
        </w:rPr>
      </w:r>
    </w:p>
    <w:p>
      <w:pPr>
        <w:pStyle w:val="99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9.5. Победитель отбора признается уклонившимся от заключения Договора в случае, </w:t>
      </w:r>
      <w:r>
        <w:rPr>
          <w:sz w:val="28"/>
          <w:szCs w:val="28"/>
          <w:highlight w:val="white"/>
        </w:rPr>
        <w:t xml:space="preserve">если победитель отбора не подписал Договор в течение срока, указанного в пункте 2.10 настоящего Порядка и не направил возражения по проекту Договора.».</w:t>
      </w:r>
      <w:r>
        <w:rPr>
          <w:color w:val="000000"/>
          <w:sz w:val="28"/>
          <w:szCs w:val="28"/>
          <w:highlight w:val="white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</w:pPr>
      <w:r>
        <w:t xml:space="preserve">11. Приложение 1 изложить в следующей редакции:</w:t>
      </w:r>
      <w:r/>
    </w:p>
    <w:p>
      <w:pPr>
        <w:jc w:val="center"/>
        <w:spacing w:line="2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РАЗМЕР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расходов на материальное стимулирование деятельности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народных дружинников</w:t>
      </w:r>
      <w:r>
        <w:rPr>
          <w:sz w:val="28"/>
          <w:szCs w:val="28"/>
        </w:rPr>
      </w:r>
    </w:p>
    <w:p>
      <w:pPr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tbl>
      <w:tblPr>
        <w:tblStyle w:val="76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329"/>
        <w:gridCol w:w="1034"/>
        <w:gridCol w:w="1034"/>
        <w:gridCol w:w="10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Наименование расходов на одного дружинника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3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Нормы расходов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 материальное стимулирование дружинников, руб.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6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329"/>
        <w:gridCol w:w="1034"/>
        <w:gridCol w:w="1034"/>
        <w:gridCol w:w="1034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431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Денежное вознаграждение (в месяц)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29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за выходы на дежурство (за каждый час) (Дч1)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47,00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47,00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47,00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29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за каждый случай участия в раскрытии преступлений (Дрп1)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1 000,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1 000,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1 000,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br/>
              <w:t xml:space="preserve">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329" w:type="dxa"/>
            <w:textDirection w:val="lrTb"/>
            <w:noWrap w:val="false"/>
          </w:tcPr>
          <w:p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за каждый случай участия в выявлении 10 административных правонарушений (Дап1)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400,00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400,00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400,00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12. Приложение 2 изложить в следующей редакции: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ПЛАНОВЫЕ ПОКАЗАТЕЛИ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8"/>
          <w:szCs w:val="28"/>
        </w:rPr>
        <w:t xml:space="preserve">для расчета размера субсидии на очередной финансовый год</w:t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tbl>
      <w:tblPr>
        <w:tblStyle w:val="76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461"/>
        <w:gridCol w:w="1495"/>
        <w:gridCol w:w="155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4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Наименование показателей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5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Значение показателя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69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461"/>
        <w:gridCol w:w="1495"/>
        <w:gridCol w:w="1557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4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5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4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Количество часов в месяц на одного дружинника* (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Мкч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5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4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Коэффициент участия в выявлении 10 административных правонарушений одним дружинником в год (Кап)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5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46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Коэффициент участия в раскрытии преступлений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 одного дружинника в год (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Крп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5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0,5707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* При определении ежемесячного размера выплаты на денежное вознаграждение дружинников за выходы на дежурство учитывается показатель Кд – минимальная продолжительность в часах выходов на дежурство одного дружинника в течение месяца, не менее 20 часов.</w:t>
      </w:r>
      <w:r>
        <w:rPr>
          <w:color w:val="000000"/>
          <w:sz w:val="28"/>
          <w:szCs w:val="28"/>
        </w:rPr>
        <w:t xml:space="preserve">».</w:t>
      </w:r>
      <w:r>
        <w:rPr>
          <w:sz w:val="24"/>
          <w:szCs w:val="24"/>
        </w:rPr>
      </w:r>
    </w:p>
    <w:p>
      <w:pPr>
        <w:pStyle w:val="938"/>
        <w:ind w:firstLine="709"/>
        <w:jc w:val="both"/>
        <w:shd w:val="clear" w:color="ffffff" w:themeColor="background1" w:fill="ffffff" w:themeFill="background1"/>
      </w:pPr>
      <w:r>
        <w:t xml:space="preserve">13. Приложения 3, 4 признать утратившими силу.</w:t>
      </w:r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18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7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44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45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table" w:styleId="710">
    <w:name w:val="Plain Table 1"/>
    <w:basedOn w:val="7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>
    <w:name w:val="Grid Table 7 Colorful"/>
    <w:basedOn w:val="7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2">
    <w:name w:val="List Table 1 Light"/>
    <w:basedOn w:val="7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>
    <w:name w:val="List Table 6 Colorful"/>
    <w:basedOn w:val="7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8">
    <w:name w:val="List Table 7 Colorful"/>
    <w:basedOn w:val="7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9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31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07"/>
    <w:uiPriority w:val="10"/>
    <w:rPr>
      <w:sz w:val="48"/>
      <w:szCs w:val="48"/>
    </w:rPr>
  </w:style>
  <w:style w:type="character" w:styleId="739" w:customStyle="1">
    <w:name w:val="Subtitle Char"/>
    <w:basedOn w:val="707"/>
    <w:uiPriority w:val="11"/>
    <w:rPr>
      <w:sz w:val="24"/>
      <w:szCs w:val="24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Footnote Text Char"/>
    <w:uiPriority w:val="99"/>
    <w:rPr>
      <w:sz w:val="18"/>
    </w:rPr>
  </w:style>
  <w:style w:type="character" w:styleId="743" w:customStyle="1">
    <w:name w:val="Endnote Text Char"/>
    <w:uiPriority w:val="99"/>
    <w:rPr>
      <w:sz w:val="20"/>
    </w:rPr>
  </w:style>
  <w:style w:type="character" w:styleId="744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5">
    <w:name w:val="Title"/>
    <w:basedOn w:val="697"/>
    <w:next w:val="697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Название Знак"/>
    <w:link w:val="755"/>
    <w:uiPriority w:val="10"/>
    <w:rPr>
      <w:sz w:val="48"/>
      <w:szCs w:val="48"/>
    </w:rPr>
  </w:style>
  <w:style w:type="paragraph" w:styleId="757">
    <w:name w:val="Subtitle"/>
    <w:basedOn w:val="697"/>
    <w:next w:val="697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697"/>
    <w:next w:val="697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697"/>
    <w:next w:val="697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697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697"/>
    <w:link w:val="994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8" w:customStyle="1">
    <w:name w:val="Caption Char"/>
    <w:uiPriority w:val="99"/>
  </w:style>
  <w:style w:type="table" w:styleId="769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697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697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697"/>
    <w:next w:val="697"/>
    <w:uiPriority w:val="39"/>
    <w:unhideWhenUsed/>
    <w:pPr>
      <w:spacing w:after="57"/>
    </w:pPr>
  </w:style>
  <w:style w:type="paragraph" w:styleId="903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904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905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906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907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908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909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910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697"/>
    <w:next w:val="697"/>
    <w:uiPriority w:val="99"/>
    <w:unhideWhenUsed/>
  </w:style>
  <w:style w:type="paragraph" w:styleId="913">
    <w:name w:val="Body Text"/>
    <w:basedOn w:val="697"/>
    <w:link w:val="937"/>
    <w:pPr>
      <w:ind w:right="3117"/>
    </w:pPr>
    <w:rPr>
      <w:rFonts w:ascii="Courier New" w:hAnsi="Courier New"/>
      <w:sz w:val="26"/>
    </w:rPr>
  </w:style>
  <w:style w:type="paragraph" w:styleId="914">
    <w:name w:val="Body Text Indent"/>
    <w:basedOn w:val="697"/>
    <w:pPr>
      <w:ind w:right="-1"/>
      <w:jc w:val="both"/>
    </w:pPr>
    <w:rPr>
      <w:sz w:val="26"/>
    </w:rPr>
  </w:style>
  <w:style w:type="character" w:styleId="915">
    <w:name w:val="page number"/>
    <w:basedOn w:val="707"/>
  </w:style>
  <w:style w:type="paragraph" w:styleId="916">
    <w:name w:val="Balloon Text"/>
    <w:basedOn w:val="697"/>
    <w:link w:val="917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link w:val="916"/>
    <w:uiPriority w:val="99"/>
    <w:rPr>
      <w:rFonts w:ascii="Segoe UI" w:hAnsi="Segoe UI" w:cs="Segoe UI"/>
      <w:sz w:val="18"/>
      <w:szCs w:val="18"/>
    </w:rPr>
  </w:style>
  <w:style w:type="character" w:styleId="918" w:customStyle="1">
    <w:name w:val="Верхний колонтитул Знак"/>
    <w:link w:val="763"/>
    <w:uiPriority w:val="99"/>
  </w:style>
  <w:style w:type="numbering" w:styleId="919" w:customStyle="1">
    <w:name w:val="Нет списка1"/>
    <w:next w:val="709"/>
    <w:uiPriority w:val="99"/>
    <w:semiHidden/>
    <w:unhideWhenUsed/>
  </w:style>
  <w:style w:type="character" w:styleId="920">
    <w:name w:val="FollowedHyperlink"/>
    <w:uiPriority w:val="99"/>
    <w:unhideWhenUsed/>
    <w:rPr>
      <w:color w:val="800080"/>
      <w:u w:val="single"/>
    </w:rPr>
  </w:style>
  <w:style w:type="paragraph" w:styleId="921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Форма"/>
    <w:rPr>
      <w:sz w:val="28"/>
      <w:szCs w:val="28"/>
      <w:lang w:eastAsia="ru-RU"/>
    </w:rPr>
  </w:style>
  <w:style w:type="character" w:styleId="937" w:customStyle="1">
    <w:name w:val="Основной текст Знак"/>
    <w:link w:val="913"/>
    <w:rPr>
      <w:rFonts w:ascii="Courier New" w:hAnsi="Courier New"/>
      <w:sz w:val="26"/>
    </w:rPr>
  </w:style>
  <w:style w:type="paragraph" w:styleId="938" w:customStyle="1">
    <w:name w:val="ConsPlusNormal"/>
    <w:rPr>
      <w:sz w:val="28"/>
      <w:szCs w:val="28"/>
      <w:lang w:eastAsia="ru-RU"/>
    </w:rPr>
  </w:style>
  <w:style w:type="numbering" w:styleId="939" w:customStyle="1">
    <w:name w:val="Нет списка11"/>
    <w:next w:val="709"/>
    <w:uiPriority w:val="99"/>
    <w:semiHidden/>
    <w:unhideWhenUsed/>
  </w:style>
  <w:style w:type="numbering" w:styleId="940" w:customStyle="1">
    <w:name w:val="Нет списка111"/>
    <w:next w:val="709"/>
    <w:uiPriority w:val="99"/>
    <w:semiHidden/>
    <w:unhideWhenUsed/>
  </w:style>
  <w:style w:type="paragraph" w:styleId="941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2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1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5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8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8" w:customStyle="1">
    <w:name w:val="Нет списка2"/>
    <w:next w:val="709"/>
    <w:uiPriority w:val="99"/>
    <w:semiHidden/>
    <w:unhideWhenUsed/>
  </w:style>
  <w:style w:type="numbering" w:styleId="989" w:customStyle="1">
    <w:name w:val="Нет списка3"/>
    <w:next w:val="709"/>
    <w:uiPriority w:val="99"/>
    <w:semiHidden/>
    <w:unhideWhenUsed/>
  </w:style>
  <w:style w:type="paragraph" w:styleId="990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3" w:customStyle="1">
    <w:name w:val="Нет списка4"/>
    <w:next w:val="709"/>
    <w:uiPriority w:val="99"/>
    <w:semiHidden/>
    <w:unhideWhenUsed/>
  </w:style>
  <w:style w:type="character" w:styleId="994" w:customStyle="1">
    <w:name w:val="Нижний колонтитул Знак"/>
    <w:link w:val="765"/>
    <w:uiPriority w:val="99"/>
  </w:style>
  <w:style w:type="paragraph" w:styleId="995" w:customStyle="1">
    <w:name w:val="Обычный (веб)1"/>
    <w:basedOn w:val="958"/>
    <w:uiPriority w:val="99"/>
    <w:unhideWhenUsed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9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  <w:style w:type="paragraph" w:styleId="997">
    <w:name w:val="Normal (Web)"/>
    <w:basedOn w:val="697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454091&amp;date=12.09.2024&amp;dst=103431&amp;field=134" TargetMode="External"/><Relationship Id="rId15" Type="http://schemas.openxmlformats.org/officeDocument/2006/relationships/hyperlink" Target="https://login.consultant.ru/link/?req=doc&amp;base=LAW&amp;n=454007&amp;date=12.09.2024" TargetMode="External"/><Relationship Id="rId16" Type="http://schemas.openxmlformats.org/officeDocument/2006/relationships/hyperlink" Target="https://login.consultant.ru/link/?req=doc&amp;base=LAW&amp;n=436364&amp;date=12.09.2024" TargetMode="External"/><Relationship Id="rId17" Type="http://schemas.openxmlformats.org/officeDocument/2006/relationships/hyperlink" Target="https://login.consultant.ru/link/?req=doc&amp;base=LAW&amp;n=435381&amp;date=12.09.2024" TargetMode="External"/><Relationship Id="rId18" Type="http://schemas.openxmlformats.org/officeDocument/2006/relationships/hyperlink" Target="https://login.consultant.ru/link/?req=doc&amp;base=RLAW368&amp;n=183799&amp;date=12.09.2024&amp;dst=100022&amp;field=134" TargetMode="External"/><Relationship Id="rId19" Type="http://schemas.openxmlformats.org/officeDocument/2006/relationships/hyperlink" Target="https://login.consultant.ru/link/?req=doc&amp;base=RLAW368&amp;n=120031&amp;date=27.09.2024&amp;dst=100005&amp;field=134" TargetMode="External"/><Relationship Id="rId20" Type="http://schemas.openxmlformats.org/officeDocument/2006/relationships/hyperlink" Target="https://login.consultant.ru/link/?req=doc&amp;base=RLAW368&amp;n=128497&amp;date=27.09.2024&amp;dst=100005&amp;field=134" TargetMode="External"/><Relationship Id="rId21" Type="http://schemas.openxmlformats.org/officeDocument/2006/relationships/hyperlink" Target="https://login.consultant.ru/link/?req=doc&amp;base=RLAW368&amp;n=130172&amp;date=27.09.2024&amp;dst=100005&amp;field=134" TargetMode="External"/><Relationship Id="rId22" Type="http://schemas.openxmlformats.org/officeDocument/2006/relationships/hyperlink" Target="https://login.consultant.ru/link/?req=doc&amp;base=RLAW368&amp;n=133665&amp;date=27.09.2024&amp;dst=100005&amp;field=134" TargetMode="External"/><Relationship Id="rId23" Type="http://schemas.openxmlformats.org/officeDocument/2006/relationships/hyperlink" Target="https://login.consultant.ru/link/?req=doc&amp;base=RLAW368&amp;n=143614&amp;date=27.09.2024&amp;dst=100005&amp;field=134" TargetMode="External"/><Relationship Id="rId24" Type="http://schemas.openxmlformats.org/officeDocument/2006/relationships/hyperlink" Target="https://login.consultant.ru/link/?req=doc&amp;base=RLAW368&amp;n=147751&amp;date=27.09.2024&amp;dst=100005&amp;field=134" TargetMode="External"/><Relationship Id="rId25" Type="http://schemas.openxmlformats.org/officeDocument/2006/relationships/hyperlink" Target="https://login.consultant.ru/link/?req=doc&amp;base=RLAW368&amp;n=153202&amp;date=27.09.2024&amp;dst=100005&amp;field=134" TargetMode="External"/><Relationship Id="rId26" Type="http://schemas.openxmlformats.org/officeDocument/2006/relationships/hyperlink" Target="https://login.consultant.ru/link/?req=doc&amp;base=RLAW368&amp;n=157114&amp;date=27.09.2024&amp;dst=100005&amp;field=134" TargetMode="External"/><Relationship Id="rId27" Type="http://schemas.openxmlformats.org/officeDocument/2006/relationships/hyperlink" Target="https://login.consultant.ru/link/?req=doc&amp;base=RLAW368&amp;n=158533&amp;date=27.09.2024&amp;dst=100005&amp;field=134" TargetMode="External"/><Relationship Id="rId28" Type="http://schemas.openxmlformats.org/officeDocument/2006/relationships/hyperlink" Target="https://login.consultant.ru/link/?req=doc&amp;base=RLAW368&amp;n=169269&amp;date=27.09.2024&amp;dst=100005&amp;field=134" TargetMode="External"/><Relationship Id="rId29" Type="http://schemas.openxmlformats.org/officeDocument/2006/relationships/hyperlink" Target="https://login.consultant.ru/link/?req=doc&amp;base=RLAW368&amp;n=172170&amp;date=27.09.2024&amp;dst=100005&amp;field=134" TargetMode="External"/><Relationship Id="rId30" Type="http://schemas.openxmlformats.org/officeDocument/2006/relationships/hyperlink" Target="https://login.consultant.ru/link/?req=doc&amp;base=RLAW368&amp;n=177443&amp;date=27.09.2024&amp;dst=100005&amp;field=134" TargetMode="External"/><Relationship Id="rId31" Type="http://schemas.openxmlformats.org/officeDocument/2006/relationships/hyperlink" Target="https://login.consultant.ru/link/?req=doc&amp;base=RLAW368&amp;n=185615&amp;date=27.09.2024&amp;dst=100005&amp;field=134" TargetMode="External"/><Relationship Id="rId32" Type="http://schemas.openxmlformats.org/officeDocument/2006/relationships/hyperlink" Target="https://login.consultant.ru/link/?req=doc&amp;base=RLAW368&amp;n=186261&amp;date=27.09.2024&amp;dst=100005&amp;field=134" TargetMode="External"/><Relationship Id="rId33" Type="http://schemas.openxmlformats.org/officeDocument/2006/relationships/hyperlink" Target="https://login.consultant.ru/link/?req=doc&amp;base=RLAW368&amp;n=187664&amp;date=27.09.2024&amp;dst=100005&amp;field=134" TargetMode="External"/><Relationship Id="rId34" Type="http://schemas.openxmlformats.org/officeDocument/2006/relationships/hyperlink" Target="https://login.consultant.ru/link/?req=doc&amp;base=RLAW368&amp;n=120031&amp;date=27.09.2024&amp;dst=100005&amp;field=134" TargetMode="External"/><Relationship Id="rId35" Type="http://schemas.openxmlformats.org/officeDocument/2006/relationships/hyperlink" Target="https://login.consultant.ru/link/?req=doc&amp;base=RLAW368&amp;n=128497&amp;date=27.09.2024&amp;dst=100005&amp;field=134" TargetMode="External"/><Relationship Id="rId36" Type="http://schemas.openxmlformats.org/officeDocument/2006/relationships/hyperlink" Target="https://login.consultant.ru/link/?req=doc&amp;base=RLAW368&amp;n=130172&amp;date=27.09.2024&amp;dst=100005&amp;field=134" TargetMode="External"/><Relationship Id="rId37" Type="http://schemas.openxmlformats.org/officeDocument/2006/relationships/hyperlink" Target="https://login.consultant.ru/link/?req=doc&amp;base=RLAW368&amp;n=133665&amp;date=27.09.2024&amp;dst=100005&amp;field=134" TargetMode="External"/><Relationship Id="rId38" Type="http://schemas.openxmlformats.org/officeDocument/2006/relationships/hyperlink" Target="https://login.consultant.ru/link/?req=doc&amp;base=RLAW368&amp;n=143614&amp;date=27.09.2024&amp;dst=100005&amp;field=134" TargetMode="External"/><Relationship Id="rId39" Type="http://schemas.openxmlformats.org/officeDocument/2006/relationships/hyperlink" Target="https://login.consultant.ru/link/?req=doc&amp;base=RLAW368&amp;n=147751&amp;date=27.09.2024&amp;dst=100005&amp;field=134" TargetMode="External"/><Relationship Id="rId40" Type="http://schemas.openxmlformats.org/officeDocument/2006/relationships/hyperlink" Target="https://login.consultant.ru/link/?req=doc&amp;base=RLAW368&amp;n=153202&amp;date=27.09.2024&amp;dst=100005&amp;field=134" TargetMode="External"/><Relationship Id="rId41" Type="http://schemas.openxmlformats.org/officeDocument/2006/relationships/hyperlink" Target="https://login.consultant.ru/link/?req=doc&amp;base=RLAW368&amp;n=157114&amp;date=27.09.2024&amp;dst=100005&amp;field=134" TargetMode="External"/><Relationship Id="rId42" Type="http://schemas.openxmlformats.org/officeDocument/2006/relationships/hyperlink" Target="https://login.consultant.ru/link/?req=doc&amp;base=RLAW368&amp;n=158533&amp;date=27.09.2024&amp;dst=100005&amp;field=134" TargetMode="External"/><Relationship Id="rId43" Type="http://schemas.openxmlformats.org/officeDocument/2006/relationships/hyperlink" Target="https://login.consultant.ru/link/?req=doc&amp;base=RLAW368&amp;n=169269&amp;date=27.09.2024&amp;dst=100005&amp;field=134" TargetMode="External"/><Relationship Id="rId44" Type="http://schemas.openxmlformats.org/officeDocument/2006/relationships/hyperlink" Target="https://login.consultant.ru/link/?req=doc&amp;base=RLAW368&amp;n=172170&amp;date=27.09.2024&amp;dst=100005&amp;field=134" TargetMode="External"/><Relationship Id="rId45" Type="http://schemas.openxmlformats.org/officeDocument/2006/relationships/hyperlink" Target="https://login.consultant.ru/link/?req=doc&amp;base=RLAW368&amp;n=177443&amp;date=27.09.2024&amp;dst=100005&amp;field=134" TargetMode="External"/><Relationship Id="rId46" Type="http://schemas.openxmlformats.org/officeDocument/2006/relationships/hyperlink" Target="https://login.consultant.ru/link/?req=doc&amp;base=RLAW368&amp;n=185615&amp;date=27.09.2024&amp;dst=100005&amp;field=134" TargetMode="External"/><Relationship Id="rId47" Type="http://schemas.openxmlformats.org/officeDocument/2006/relationships/hyperlink" Target="https://login.consultant.ru/link/?req=doc&amp;base=RLAW368&amp;n=186261&amp;date=27.09.2024&amp;dst=100005&amp;field=134" TargetMode="External"/><Relationship Id="rId48" Type="http://schemas.openxmlformats.org/officeDocument/2006/relationships/hyperlink" Target="https://login.consultant.ru/link/?req=doc&amp;base=RLAW368&amp;n=187664&amp;date=27.09.2024&amp;dst=100005&amp;field=134" TargetMode="External"/><Relationship Id="rId49" Type="http://schemas.openxmlformats.org/officeDocument/2006/relationships/hyperlink" Target="http://www.gorodperm.ru" TargetMode="External"/><Relationship Id="rId50" Type="http://schemas.openxmlformats.org/officeDocument/2006/relationships/hyperlink" Target="https://login.consultant.ru/link/?req=doc&amp;base=LAW&amp;n=420230&amp;date=12.09.2024&amp;dst=100010&amp;field=134" TargetMode="External"/><Relationship Id="rId51" Type="http://schemas.openxmlformats.org/officeDocument/2006/relationships/hyperlink" Target="https://login.consultant.ru/link/?req=doc&amp;base=LAW&amp;n=121087&amp;date=12.09.2024&amp;dst=100142&amp;field=134" TargetMode="External"/><Relationship Id="rId52" Type="http://schemas.openxmlformats.org/officeDocument/2006/relationships/hyperlink" Target="https://login.consultant.ru/link/?req=doc&amp;base=LAW&amp;n=465999&amp;date=12.09.2024" TargetMode="External"/><Relationship Id="rId53" Type="http://schemas.openxmlformats.org/officeDocument/2006/relationships/hyperlink" Target="https://login.consultant.ru/link/?req=doc&amp;base=LAW&amp;n=482899&amp;date=12.09.2024&amp;dst=5769&amp;field=134" TargetMode="External"/><Relationship Id="rId54" Type="http://schemas.openxmlformats.org/officeDocument/2006/relationships/hyperlink" Target="https://login.consultant.ru/link/?req=doc&amp;base=RLAW368&amp;n=196928&amp;dst=103239&amp;field=134&amp;date=17.10.2024" TargetMode="External"/><Relationship Id="rId55" Type="http://schemas.openxmlformats.org/officeDocument/2006/relationships/hyperlink" Target="https://login.consultant.ru/link/?req=doc&amp;base=RLAW368&amp;n=196928&amp;dst=103239&amp;field=134&amp;date=17.10.2024" TargetMode="External"/><Relationship Id="rId56" Type="http://schemas.openxmlformats.org/officeDocument/2006/relationships/hyperlink" Target="https://login.consultant.ru/link/?req=doc&amp;base=RLAW368&amp;n=196928&amp;dst=103239&amp;field=134&amp;date=19.10.2024" TargetMode="External"/><Relationship Id="rId57" Type="http://schemas.openxmlformats.org/officeDocument/2006/relationships/hyperlink" Target="https://login.consultant.ru/link/?req=doc&amp;base=RLAW368&amp;n=196928&amp;dst=102577&amp;field=134&amp;date=19.10.2024" TargetMode="External"/><Relationship Id="rId58" Type="http://schemas.openxmlformats.org/officeDocument/2006/relationships/hyperlink" Target="http://dob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5628-0FB5-41C2-83F2-5BC9C3B1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2024-12-10T04:48:00Z</dcterms:created>
  <dcterms:modified xsi:type="dcterms:W3CDTF">2024-12-11T06:23:37Z</dcterms:modified>
  <cp:version>983040</cp:version>
</cp:coreProperties>
</file>