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-490882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1.20pt;mso-position-horizontal:absolute;mso-position-vertical-relative:text;margin-top:-38.6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-542925</wp:posOffset>
                </wp:positionV>
                <wp:extent cx="6285865" cy="1932305"/>
                <wp:effectExtent l="0" t="0" r="635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32305"/>
                          <a:chOff x="1430" y="657"/>
                          <a:chExt cx="9899" cy="3042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3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1216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25pt;mso-position-horizontal:absolute;mso-position-vertical-relative:text;margin-top:-42.75pt;mso-position-vertical:absolute;width:494.95pt;height:152.15pt;mso-wrap-distance-left:9.00pt;mso-wrap-distance-top:0.00pt;mso-wrap-distance-right:9.00pt;mso-wrap-distance-bottom:0.00pt;" coordorigin="14,6" coordsize="98,30">
                <v:shape id="shape 2" o:spid="_x0000_s2" o:spt="202" type="#_x0000_t202" style="position:absolute;left:14;top:6;width:98;height:30;visibility:visible;" fillcolor="#FFFFFF" stroked="f">
                  <v:textbox inset="0,0,0,0">
                    <w:txbxContent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1216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line="240" w:lineRule="exact"/>
      </w:pPr>
      <w:r/>
      <w:r/>
    </w:p>
    <w:p>
      <w:pPr>
        <w:pStyle w:val="890"/>
        <w:spacing w:line="240" w:lineRule="exact"/>
      </w:pPr>
      <w:r/>
      <w:r/>
    </w:p>
    <w:p>
      <w:pPr>
        <w:pStyle w:val="890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Поряд</w:t>
      </w:r>
      <w:r>
        <w:rPr>
          <w:b/>
        </w:rPr>
        <w:t xml:space="preserve">о</w:t>
      </w:r>
      <w:r>
        <w:rPr>
          <w:b/>
        </w:rPr>
        <w:t xml:space="preserve">к</w:t>
      </w:r>
      <w:r>
        <w:rPr>
          <w:b/>
        </w:rPr>
        <w:t xml:space="preserve"> </w:t>
      </w:r>
      <w:r>
        <w:rPr>
          <w:b/>
        </w:rPr>
      </w:r>
    </w:p>
    <w:p>
      <w:pPr>
        <w:pStyle w:val="890"/>
        <w:ind w:right="5385"/>
        <w:spacing w:line="240" w:lineRule="exact"/>
        <w:rPr>
          <w:b/>
        </w:rPr>
      </w:pPr>
      <w:r>
        <w:rPr>
          <w:b/>
        </w:rPr>
        <w:t xml:space="preserve">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</w:t>
      </w:r>
      <w:r>
        <w:br/>
      </w:r>
      <w:r>
        <w:rPr>
          <w:b/>
        </w:rPr>
        <w:t xml:space="preserve">и спорту администрации города Перми, на повышение фонда </w:t>
      </w:r>
      <w:r>
        <w:rPr>
          <w:b/>
        </w:rPr>
      </w:r>
    </w:p>
    <w:p>
      <w:pPr>
        <w:pStyle w:val="890"/>
        <w:ind w:right="5385"/>
        <w:spacing w:line="240" w:lineRule="exact"/>
        <w:rPr>
          <w:b/>
        </w:rPr>
      </w:pPr>
      <w:r>
        <w:rPr>
          <w:b/>
        </w:rPr>
        <w:t xml:space="preserve">оплаты труда, утвержденн</w:t>
      </w:r>
      <w:r>
        <w:rPr>
          <w:b/>
        </w:rPr>
        <w:t xml:space="preserve">ый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 xml:space="preserve">постановлением администрации города Перми от 28.09.2021 № 766</w:t>
      </w:r>
      <w:r>
        <w:rPr>
          <w:b/>
        </w:rPr>
        <w:t xml:space="preserve"> </w:t>
      </w:r>
      <w:r>
        <w:rPr>
          <w:b/>
        </w:rPr>
      </w:r>
    </w:p>
    <w:p>
      <w:pPr>
        <w:pStyle w:val="890"/>
        <w:ind w:right="4959"/>
        <w:spacing w:line="240" w:lineRule="exact"/>
      </w:pPr>
      <w:r/>
      <w:r/>
    </w:p>
    <w:p>
      <w:pPr>
        <w:pStyle w:val="890"/>
        <w:spacing w:line="240" w:lineRule="exact"/>
      </w:pPr>
      <w:r/>
      <w:r/>
    </w:p>
    <w:p>
      <w:pPr>
        <w:pStyle w:val="890"/>
        <w:spacing w:line="240" w:lineRule="exact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 определения объема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повышение фонда оплаты труда, утвержденн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постановлением администрации города Перми от 28 сентября 2021 г. № 766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t xml:space="preserve">от 19.10.2021 № 903, </w:t>
      </w:r>
      <w:r>
        <w:rPr>
          <w:sz w:val="28"/>
          <w:szCs w:val="28"/>
        </w:rPr>
        <w:t xml:space="preserve">от 13.04.2022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277, от 15.06.2022 № 477, от 24.08.2022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708, от 18.10.20</w:t>
      </w:r>
      <w:r>
        <w:rPr>
          <w:sz w:val="28"/>
          <w:szCs w:val="28"/>
        </w:rPr>
        <w:t xml:space="preserve">22 № 964, от 20.10.2022 № 1040,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12.12.2022 № 1275, от 29.12.2022 № 1420, от 30.12.2022 № 1426,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20.02.2023 № 129, от 20.06.2023 № 512, от 25.08.2023 № 771</w:t>
      </w:r>
      <w:r>
        <w:rPr>
          <w:sz w:val="28"/>
          <w:szCs w:val="28"/>
        </w:rPr>
        <w:t xml:space="preserve">, от 28.09.2023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920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13.10.2023 № 978, от </w:t>
      </w:r>
      <w:r>
        <w:rPr>
          <w:sz w:val="28"/>
          <w:szCs w:val="28"/>
        </w:rPr>
        <w:t xml:space="preserve">13.10.2023 № 992, от 13.10.2023 </w:t>
      </w:r>
      <w:r>
        <w:rPr>
          <w:sz w:val="28"/>
          <w:szCs w:val="28"/>
        </w:rPr>
        <w:t xml:space="preserve">№ 1046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27.11.2023 № 1312</w:t>
      </w:r>
      <w:r>
        <w:rPr>
          <w:sz w:val="28"/>
          <w:szCs w:val="28"/>
        </w:rPr>
        <w:t xml:space="preserve">, от 06.12.2023 № 1384</w:t>
      </w:r>
      <w:r>
        <w:rPr>
          <w:sz w:val="28"/>
          <w:szCs w:val="28"/>
        </w:rPr>
        <w:t xml:space="preserve">, от 16.08.2024 № 657, от 10.10.2024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875, от 21.10.2024 № 994, от 07.11.2024 № 1071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пунктом 4.7 следующего 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если расходы муниципального автономного учреждения, источником финансового обеспечения которых должн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являться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на ин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осуществлены за счет средств данного учреждения, полученных им от разрешенных видов деятельности, со счетов, откр</w:t>
      </w:r>
      <w:r>
        <w:rPr>
          <w:sz w:val="28"/>
          <w:szCs w:val="28"/>
        </w:rPr>
        <w:t xml:space="preserve">ытых им в кредитных организациях, или с лицевого счета автономного учреждения, открытого ему в департаменте финансов администрации города Перми для учета операций со средствами автономного учреждения, получаемыми автономным учреждением от приносящей доход </w:t>
      </w:r>
      <w:r>
        <w:rPr>
          <w:sz w:val="28"/>
          <w:szCs w:val="28"/>
        </w:rPr>
        <w:t xml:space="preserve">деятельности, и со средствами, поступающими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чреждению на финансовое обеспечение выполнения им муниципального задания,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чреждение вправе осуществить возмещение указанных расходов за счет субсиди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на ин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после проверки документов, подтверждающих подлежащие возмещению расходы.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расх</w:t>
      </w:r>
      <w:r>
        <w:rPr>
          <w:sz w:val="28"/>
          <w:szCs w:val="28"/>
        </w:rPr>
        <w:t xml:space="preserve">оды муниципального бюджетного учреждения, источником финансового обеспечения которых должны являться субсидии на иные цели, осуществлены с лицевого счета муниципального бюджетного учреждения, открытого ему в департаменте финансов администрации города Перми</w:t>
      </w:r>
      <w:r>
        <w:rPr>
          <w:sz w:val="28"/>
          <w:szCs w:val="28"/>
        </w:rPr>
        <w:t xml:space="preserve"> для учета операций со средствами бюджетного учреждения, получаемыми бюджетным учреждением от приносящей доход деятельности, и со средствами, поступающими муниципальному бюджетному учреждению на финансовое обеспечение выполнения им муниципального задания,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чреждение вправе осуществить возмещение указанных расходов за счет субсиди</w:t>
      </w:r>
      <w:r>
        <w:rPr>
          <w:sz w:val="28"/>
          <w:szCs w:val="28"/>
        </w:rPr>
        <w:t xml:space="preserve">й на иные цели после проверки документов, подтверждающих подлежащие возмещению расходы, в случае отсутствия на момент осуществления расходов, на исполнение которых предоставляются субсидии на иные цели, возможности их оплаты за счет субсидий на иные цели.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расходов Учреждения осуществляется после согласования </w:t>
      </w:r>
      <w:r>
        <w:rPr>
          <w:sz w:val="28"/>
          <w:szCs w:val="28"/>
        </w:rPr>
        <w:br/>
      </w:r>
      <w:bookmarkStart w:id="0" w:name="_GoBack"/>
      <w:r/>
      <w:bookmarkEnd w:id="0"/>
      <w:r>
        <w:rPr>
          <w:sz w:val="28"/>
          <w:szCs w:val="28"/>
        </w:rPr>
        <w:t xml:space="preserve">их возмещения </w:t>
      </w:r>
      <w:r>
        <w:rPr>
          <w:sz w:val="28"/>
          <w:szCs w:val="28"/>
        </w:rPr>
        <w:t xml:space="preserve">Комитетом</w:t>
      </w:r>
      <w:r>
        <w:rPr>
          <w:sz w:val="28"/>
          <w:szCs w:val="28"/>
        </w:rPr>
        <w:t xml:space="preserve"> в порядке, утвержденном правовым актом начальника департамента финан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ов администрации города Перми.»;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2 строку 7 изложить в следующей редакции:</w:t>
      </w:r>
      <w:r>
        <w:rPr>
          <w:sz w:val="28"/>
          <w:szCs w:val="28"/>
        </w:rPr>
      </w:r>
    </w:p>
    <w:tbl>
      <w:tblPr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611"/>
        <w:gridCol w:w="1701"/>
        <w:gridCol w:w="1418"/>
        <w:gridCol w:w="1559"/>
      </w:tblGrid>
      <w:tr>
        <w:tblPrEx/>
        <w:trPr>
          <w:trHeight w:val="609"/>
        </w:trPr>
        <w:tc>
          <w:tcPr>
            <w:tcW w:w="62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461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МАУ ДО «СШ</w:t>
            </w:r>
            <w:r>
              <w:rPr>
                <w:color w:val="000000"/>
                <w:sz w:val="28"/>
                <w:szCs w:val="28"/>
              </w:rPr>
              <w:t xml:space="preserve"> водных видов спорт</w:t>
            </w:r>
            <w:r>
              <w:rPr>
                <w:color w:val="000000"/>
                <w:sz w:val="28"/>
                <w:szCs w:val="28"/>
              </w:rPr>
              <w:t xml:space="preserve">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г.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1 17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94</w:t>
            </w: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1 111,494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города Перми</w:t>
      </w:r>
      <w:r>
        <w:rPr>
          <w:rFonts w:eastAsia="Calibri"/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85880939"/>
      <w:docPartObj>
        <w:docPartGallery w:val="Page Numbers (Top of Page)"/>
        <w:docPartUnique w:val="true"/>
      </w:docPartObj>
      <w:rPr/>
    </w:sdtPr>
    <w:sdtContent>
      <w:p>
        <w:pPr>
          <w:pStyle w:val="72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  <w:p>
    <w:pPr>
      <w:pStyle w:val="729"/>
      <w:jc w:val="center"/>
      <w:rPr>
        <w:sz w:val="28"/>
      </w:rPr>
    </w:pP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2693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41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13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85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557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629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701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773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8453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556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7"/>
    <w:link w:val="721"/>
    <w:uiPriority w:val="10"/>
    <w:rPr>
      <w:sz w:val="48"/>
      <w:szCs w:val="48"/>
    </w:rPr>
  </w:style>
  <w:style w:type="character" w:styleId="37">
    <w:name w:val="Subtitle Char"/>
    <w:basedOn w:val="707"/>
    <w:link w:val="723"/>
    <w:uiPriority w:val="11"/>
    <w:rPr>
      <w:sz w:val="24"/>
      <w:szCs w:val="24"/>
    </w:rPr>
  </w:style>
  <w:style w:type="character" w:styleId="39">
    <w:name w:val="Quote Char"/>
    <w:link w:val="725"/>
    <w:uiPriority w:val="29"/>
    <w:rPr>
      <w:i/>
    </w:rPr>
  </w:style>
  <w:style w:type="character" w:styleId="41">
    <w:name w:val="Intense Quote Char"/>
    <w:link w:val="727"/>
    <w:uiPriority w:val="30"/>
    <w:rPr>
      <w:i/>
    </w:rPr>
  </w:style>
  <w:style w:type="table" w:styleId="50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862"/>
    <w:uiPriority w:val="99"/>
    <w:rPr>
      <w:sz w:val="18"/>
    </w:rPr>
  </w:style>
  <w:style w:type="character" w:styleId="179">
    <w:name w:val="Endnote Text Char"/>
    <w:link w:val="865"/>
    <w:uiPriority w:val="99"/>
    <w:rPr>
      <w:sz w:val="20"/>
    </w:rPr>
  </w:style>
  <w:style w:type="paragraph" w:styleId="697" w:default="1">
    <w:name w:val="Normal"/>
    <w:qFormat/>
    <w:rPr>
      <w:lang w:eastAsia="ru-RU"/>
    </w:rPr>
  </w:style>
  <w:style w:type="paragraph" w:styleId="698">
    <w:name w:val="Heading 1"/>
    <w:basedOn w:val="697"/>
    <w:next w:val="697"/>
    <w:link w:val="879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99">
    <w:name w:val="Heading 2"/>
    <w:basedOn w:val="697"/>
    <w:next w:val="697"/>
    <w:link w:val="880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0">
    <w:name w:val="No Spacing"/>
    <w:uiPriority w:val="1"/>
    <w:qFormat/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730" w:customStyle="1">
    <w:name w:val="Header Char"/>
    <w:uiPriority w:val="99"/>
  </w:style>
  <w:style w:type="paragraph" w:styleId="731">
    <w:name w:val="Footer"/>
    <w:basedOn w:val="697"/>
    <w:link w:val="885"/>
    <w:uiPriority w:val="99"/>
    <w:pPr>
      <w:tabs>
        <w:tab w:val="center" w:pos="4153" w:leader="none"/>
        <w:tab w:val="right" w:pos="8306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4" w:customStyle="1">
    <w:name w:val="Caption Char"/>
    <w:uiPriority w:val="99"/>
  </w:style>
  <w:style w:type="table" w:styleId="735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3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7"/>
    <w:next w:val="697"/>
    <w:uiPriority w:val="99"/>
    <w:unhideWhenUsed/>
  </w:style>
  <w:style w:type="character" w:styleId="879" w:customStyle="1">
    <w:name w:val="Заголовок 1 Знак"/>
    <w:link w:val="698"/>
    <w:rPr>
      <w:sz w:val="24"/>
    </w:rPr>
  </w:style>
  <w:style w:type="character" w:styleId="880" w:customStyle="1">
    <w:name w:val="Заголовок 2 Знак"/>
    <w:link w:val="699"/>
    <w:rPr>
      <w:sz w:val="24"/>
    </w:rPr>
  </w:style>
  <w:style w:type="paragraph" w:styleId="881">
    <w:name w:val="Body Text"/>
    <w:basedOn w:val="697"/>
    <w:link w:val="882"/>
    <w:pPr>
      <w:ind w:right="3117"/>
    </w:pPr>
    <w:rPr>
      <w:rFonts w:ascii="Courier New" w:hAnsi="Courier New"/>
      <w:sz w:val="26"/>
      <w:lang w:val="en-US" w:eastAsia="en-US"/>
    </w:rPr>
  </w:style>
  <w:style w:type="character" w:styleId="882" w:customStyle="1">
    <w:name w:val="Основной текст Знак"/>
    <w:link w:val="881"/>
    <w:rPr>
      <w:rFonts w:ascii="Courier New" w:hAnsi="Courier New"/>
      <w:sz w:val="26"/>
    </w:rPr>
  </w:style>
  <w:style w:type="paragraph" w:styleId="883">
    <w:name w:val="Body Text Indent"/>
    <w:basedOn w:val="697"/>
    <w:link w:val="884"/>
    <w:pPr>
      <w:ind w:right="-1"/>
      <w:jc w:val="both"/>
    </w:pPr>
    <w:rPr>
      <w:sz w:val="26"/>
      <w:lang w:val="en-US" w:eastAsia="en-US"/>
    </w:rPr>
  </w:style>
  <w:style w:type="character" w:styleId="884" w:customStyle="1">
    <w:name w:val="Основной текст с отступом Знак"/>
    <w:link w:val="883"/>
    <w:rPr>
      <w:sz w:val="26"/>
    </w:rPr>
  </w:style>
  <w:style w:type="character" w:styleId="885" w:customStyle="1">
    <w:name w:val="Нижний колонтитул Знак"/>
    <w:basedOn w:val="707"/>
    <w:link w:val="731"/>
    <w:uiPriority w:val="99"/>
  </w:style>
  <w:style w:type="character" w:styleId="886">
    <w:name w:val="page number"/>
    <w:basedOn w:val="707"/>
  </w:style>
  <w:style w:type="character" w:styleId="887" w:customStyle="1">
    <w:name w:val="Верхний колонтитул Знак"/>
    <w:link w:val="729"/>
    <w:uiPriority w:val="99"/>
  </w:style>
  <w:style w:type="paragraph" w:styleId="888">
    <w:name w:val="Balloon Text"/>
    <w:basedOn w:val="697"/>
    <w:link w:val="889"/>
    <w:rPr>
      <w:rFonts w:ascii="Segoe UI" w:hAnsi="Segoe UI"/>
      <w:sz w:val="18"/>
      <w:szCs w:val="18"/>
      <w:lang w:val="en-US" w:eastAsia="en-US"/>
    </w:rPr>
  </w:style>
  <w:style w:type="character" w:styleId="889" w:customStyle="1">
    <w:name w:val="Текст выноски Знак"/>
    <w:link w:val="888"/>
    <w:rPr>
      <w:rFonts w:ascii="Segoe UI" w:hAnsi="Segoe UI" w:cs="Segoe UI"/>
      <w:sz w:val="18"/>
      <w:szCs w:val="18"/>
    </w:rPr>
  </w:style>
  <w:style w:type="paragraph" w:styleId="890" w:customStyle="1">
    <w:name w:val="Форма"/>
    <w:rPr>
      <w:sz w:val="28"/>
      <w:szCs w:val="28"/>
      <w:lang w:eastAsia="ru-RU"/>
    </w:rPr>
  </w:style>
  <w:style w:type="paragraph" w:styleId="891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892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893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character" w:styleId="894">
    <w:name w:val="annotation reference"/>
    <w:rPr>
      <w:sz w:val="16"/>
      <w:szCs w:val="16"/>
    </w:rPr>
  </w:style>
  <w:style w:type="paragraph" w:styleId="895">
    <w:name w:val="annotation text"/>
    <w:basedOn w:val="697"/>
    <w:link w:val="896"/>
  </w:style>
  <w:style w:type="character" w:styleId="896" w:customStyle="1">
    <w:name w:val="Текст примечания Знак"/>
    <w:basedOn w:val="707"/>
    <w:link w:val="895"/>
  </w:style>
  <w:style w:type="paragraph" w:styleId="897">
    <w:name w:val="annotation subject"/>
    <w:basedOn w:val="895"/>
    <w:next w:val="895"/>
    <w:link w:val="898"/>
    <w:rPr>
      <w:b/>
      <w:bCs/>
      <w:lang w:val="en-US" w:eastAsia="en-US"/>
    </w:rPr>
  </w:style>
  <w:style w:type="character" w:styleId="898" w:customStyle="1">
    <w:name w:val="Тема примечания Знак"/>
    <w:link w:val="897"/>
    <w:rPr>
      <w:b/>
      <w:bCs/>
    </w:rPr>
  </w:style>
  <w:style w:type="paragraph" w:styleId="899">
    <w:name w:val="Normal (Web)"/>
    <w:basedOn w:val="697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00">
    <w:name w:val="HTML Preformatted"/>
    <w:basedOn w:val="697"/>
    <w:link w:val="901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01" w:customStyle="1">
    <w:name w:val="Стандартный HTML Знак"/>
    <w:basedOn w:val="707"/>
    <w:link w:val="900"/>
    <w:uiPriority w:val="99"/>
    <w:rPr>
      <w:rFonts w:ascii="Courier New" w:hAnsi="Courier New" w:cs="Courier New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</cp:revision>
  <dcterms:created xsi:type="dcterms:W3CDTF">2024-11-29T08:36:00Z</dcterms:created>
  <dcterms:modified xsi:type="dcterms:W3CDTF">2024-12-11T06:50:34Z</dcterms:modified>
  <cp:version>786432</cp:version>
</cp:coreProperties>
</file>