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53045</wp:posOffset>
                </wp:positionH>
                <wp:positionV relativeFrom="paragraph">
                  <wp:posOffset>-545465</wp:posOffset>
                </wp:positionV>
                <wp:extent cx="6238535" cy="16403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38534" cy="1640299"/>
                          <a:chOff x="0" y="0"/>
                          <a:chExt cx="6238534" cy="164029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8534" cy="163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115" cy="508635"/>
                                        <wp:effectExtent l="0" t="0" r="6985" b="5715"/>
                                        <wp:docPr id="2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11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6498" y="1332547"/>
                            <a:ext cx="1524498" cy="30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03101" y="1335681"/>
                            <a:ext cx="1077673" cy="304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4.18pt;mso-position-horizontal:absolute;mso-position-vertical-relative:text;margin-top:-42.95pt;mso-position-vertical:absolute;width:491.22pt;height:129.16pt;mso-wrap-distance-left:9.00pt;mso-wrap-distance-top:0.00pt;mso-wrap-distance-right:9.00pt;mso-wrap-distance-bottom:0.00pt;" coordorigin="0,0" coordsize="62385,16402">
                <v:shape id="shape 2" o:spid="_x0000_s2" o:spt="202" type="#_x0000_t202" style="position:absolute;left:0;top:0;width:62385;height:16371;v-text-anchor:top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115" cy="508635"/>
                                  <wp:effectExtent l="0" t="0" r="6985" b="5715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4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64;top:13325;width:15244;height:304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031;top:13356;width:10776;height:304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9</w:t>
      </w:r>
      <w:r>
        <w:rPr>
          <w:rFonts w:ascii="Times New Roman" w:hAnsi="Times New Roman"/>
          <w:sz w:val="24"/>
        </w:rPr>
      </w:r>
    </w:p>
    <w:p>
      <w:pPr>
        <w:pStyle w:val="746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6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7"/>
        <w:spacing w:line="240" w:lineRule="exact"/>
      </w:pPr>
      <w:r/>
      <w:r/>
    </w:p>
    <w:p>
      <w:pPr>
        <w:pStyle w:val="757"/>
        <w:spacing w:line="240" w:lineRule="exact"/>
      </w:pPr>
      <w:r/>
      <w:r/>
    </w:p>
    <w:p>
      <w:pPr>
        <w:pStyle w:val="757"/>
        <w:spacing w:line="240" w:lineRule="exact"/>
      </w:pPr>
      <w:r/>
      <w:r/>
    </w:p>
    <w:p>
      <w:pPr>
        <w:pStyle w:val="757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</w:t>
      </w:r>
      <w:r>
        <w:rPr>
          <w:b/>
        </w:rPr>
        <w:t xml:space="preserve">«</w:t>
      </w:r>
      <w:r>
        <w:rPr>
          <w:b/>
        </w:rPr>
        <w:t xml:space="preserve">Культура города Перми</w:t>
      </w:r>
      <w:r>
        <w:rPr>
          <w:b/>
        </w:rPr>
        <w:t xml:space="preserve">»</w:t>
      </w:r>
      <w:r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  <w:t xml:space="preserve">от 20.10.2021 № 919</w:t>
      </w:r>
      <w:r>
        <w:rPr>
          <w:b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</w:t>
      </w:r>
      <w:r>
        <w:rPr>
          <w:sz w:val="28"/>
        </w:rPr>
        <w:t xml:space="preserve">-</w:t>
      </w:r>
      <w:r>
        <w:rPr>
          <w:sz w:val="28"/>
        </w:rPr>
        <w:t xml:space="preserve">ФЗ </w:t>
      </w:r>
      <w:r>
        <w:rPr>
          <w:sz w:val="28"/>
        </w:rPr>
        <w:t xml:space="preserve">«</w:t>
      </w:r>
      <w:r>
        <w:rPr>
          <w:sz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</w:t>
      </w:r>
      <w:r>
        <w:rPr>
          <w:sz w:val="28"/>
        </w:rPr>
        <w:br/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Порядка принятия решений о разработке муниципальных программ, их формирования и реализации</w:t>
      </w:r>
      <w:r>
        <w:rPr>
          <w:sz w:val="28"/>
        </w:rPr>
        <w:t xml:space="preserve">»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прилагаемые изменения в муниципальную программу </w:t>
      </w:r>
      <w:r>
        <w:rPr>
          <w:sz w:val="28"/>
        </w:rPr>
        <w:t xml:space="preserve">«</w:t>
      </w:r>
      <w:r>
        <w:rPr>
          <w:sz w:val="28"/>
        </w:rPr>
        <w:t xml:space="preserve">Культура города Перми</w:t>
      </w:r>
      <w:r>
        <w:rPr>
          <w:sz w:val="28"/>
        </w:rPr>
        <w:t xml:space="preserve">»</w:t>
      </w:r>
      <w:r>
        <w:rPr>
          <w:sz w:val="28"/>
        </w:rPr>
        <w:t xml:space="preserve">, утвержденную постановлением администрации города Перми от 20 октября 2021 г. № 919</w:t>
      </w:r>
      <w:r>
        <w:rPr>
          <w:sz w:val="28"/>
        </w:rPr>
        <w:t xml:space="preserve"> (</w:t>
      </w:r>
      <w:r>
        <w:rPr>
          <w:sz w:val="28"/>
        </w:rPr>
        <w:t xml:space="preserve">в ред. от 29.12.2021 № 1257, от 16.02.2022 № 95, </w:t>
      </w:r>
      <w:r>
        <w:rPr>
          <w:sz w:val="28"/>
        </w:rPr>
        <w:br/>
        <w:t xml:space="preserve">от 29.03.2022 № 240, от 12.04.2022 № 270, от 19.05.2022 № 381, от 16.06.2022 </w:t>
      </w:r>
      <w:r>
        <w:rPr>
          <w:sz w:val="28"/>
        </w:rPr>
        <w:br/>
      </w:r>
      <w:r>
        <w:rPr>
          <w:sz w:val="28"/>
        </w:rPr>
        <w:t xml:space="preserve">№ 481</w:t>
      </w:r>
      <w:r>
        <w:rPr>
          <w:sz w:val="28"/>
        </w:rPr>
        <w:t xml:space="preserve">, от 11.07.2022 № 590</w:t>
      </w:r>
      <w:r>
        <w:rPr>
          <w:sz w:val="28"/>
        </w:rPr>
        <w:t xml:space="preserve">, от 15.09.2022 № </w:t>
      </w:r>
      <w:r>
        <w:rPr>
          <w:sz w:val="28"/>
        </w:rPr>
        <w:t xml:space="preserve">800</w:t>
      </w:r>
      <w:r>
        <w:rPr>
          <w:sz w:val="28"/>
        </w:rPr>
        <w:t xml:space="preserve">, от 05.10.2022 № 904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от 20.10.2022 № 1017, от 03.11.2022 № 1124, от 23.11.2022 № 1181, от 16.12.2022 № 1300,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23.12.2022 № 1343, от 23.12.2022 № 1349, от 30.12.2022 № 1423, от 06.02.2023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79, от 16.02.2023 № 118, от 22.03.2023 № 229, от 10.04.2023 № 284, от 26.05.2023 № 431</w:t>
      </w:r>
      <w:r>
        <w:rPr>
          <w:sz w:val="28"/>
          <w:szCs w:val="28"/>
        </w:rPr>
        <w:t xml:space="preserve">, от 14.06.2023 № 490</w:t>
      </w:r>
      <w:r>
        <w:rPr>
          <w:sz w:val="28"/>
          <w:szCs w:val="28"/>
        </w:rPr>
        <w:t xml:space="preserve">, от 30.06.2023 № 555</w:t>
      </w:r>
      <w:r>
        <w:rPr>
          <w:sz w:val="28"/>
          <w:szCs w:val="28"/>
        </w:rPr>
        <w:t xml:space="preserve">, от 24.08.2023 № 755</w:t>
      </w:r>
      <w:r>
        <w:rPr>
          <w:sz w:val="28"/>
          <w:szCs w:val="28"/>
        </w:rPr>
        <w:t xml:space="preserve">, от 13.10.2023 № </w:t>
      </w:r>
      <w:r>
        <w:rPr>
          <w:sz w:val="28"/>
          <w:szCs w:val="28"/>
        </w:rPr>
        <w:t xml:space="preserve">991, от 18.10.2023 № 1087, от 30.10.2023 № 1196,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28.11.2023 № 1324,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 01.12.2023 № 1355, от 05.12.2023 № 1377, от 15.12.2023 № 1410, от 25.12.2023 № 1470, от 26.12.2023 № 1496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27.12.2023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1514</w:t>
      </w:r>
      <w:r>
        <w:rPr>
          <w:sz w:val="28"/>
          <w:szCs w:val="28"/>
        </w:rPr>
        <w:t xml:space="preserve">, от 02.02.2024 № 58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11.03.2024 № 171</w:t>
      </w:r>
      <w:r>
        <w:rPr>
          <w:sz w:val="28"/>
          <w:szCs w:val="28"/>
        </w:rPr>
        <w:t xml:space="preserve">, от 05.04.2024 № 252</w:t>
      </w:r>
      <w:r>
        <w:rPr>
          <w:sz w:val="28"/>
          <w:szCs w:val="28"/>
        </w:rPr>
        <w:t xml:space="preserve">, от 03.05.2024 № </w:t>
      </w:r>
      <w:r>
        <w:rPr>
          <w:sz w:val="28"/>
          <w:szCs w:val="28"/>
        </w:rPr>
        <w:t xml:space="preserve">341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16.05.2024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367</w:t>
      </w:r>
      <w:r>
        <w:rPr>
          <w:sz w:val="28"/>
          <w:szCs w:val="28"/>
        </w:rPr>
        <w:t xml:space="preserve">, от 16.07.2024 № 589</w:t>
      </w:r>
      <w:r>
        <w:rPr>
          <w:sz w:val="28"/>
          <w:szCs w:val="28"/>
        </w:rPr>
        <w:t xml:space="preserve">, от 08.08.2024 № 630</w:t>
      </w:r>
      <w:r>
        <w:rPr>
          <w:sz w:val="28"/>
          <w:szCs w:val="28"/>
        </w:rPr>
        <w:t xml:space="preserve">, от 06.09.2024 № 739</w:t>
      </w:r>
      <w:r>
        <w:rPr>
          <w:sz w:val="28"/>
          <w:szCs w:val="28"/>
        </w:rPr>
        <w:t xml:space="preserve">, от 18.10.2024 № 969</w:t>
      </w:r>
      <w:r>
        <w:rPr>
          <w:sz w:val="28"/>
          <w:szCs w:val="28"/>
        </w:rPr>
        <w:t xml:space="preserve">, от 02.11.2024 № 1059, от 07.11.2024 № 1074</w:t>
      </w:r>
      <w:r>
        <w:rPr>
          <w:sz w:val="28"/>
          <w:szCs w:val="28"/>
        </w:rPr>
        <w:t xml:space="preserve">).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>
        <w:rPr>
          <w:sz w:val="28"/>
          <w:szCs w:val="28"/>
        </w:rPr>
        <w:t xml:space="preserve"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и действует </w:t>
      </w:r>
      <w:r>
        <w:rPr>
          <w:sz w:val="28"/>
        </w:rPr>
        <w:t xml:space="preserve">по 31 декабря 2024 г.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</w:t>
      </w:r>
      <w:r>
        <w:rPr>
          <w:sz w:val="28"/>
        </w:rPr>
        <w:t xml:space="preserve">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</w:rPr>
        <w:t xml:space="preserve">в печатном средстве массовой информации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776"/>
          <w:color w:val="auto"/>
          <w:sz w:val="28"/>
          <w:szCs w:val="28"/>
          <w:u w:val="none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6"/>
        <w:contextualSpacing/>
        <w:ind w:right="0"/>
        <w:jc w:val="both"/>
        <w:spacing w:line="240" w:lineRule="exact"/>
        <w:tabs>
          <w:tab w:val="left" w:pos="8222" w:leader="none"/>
          <w:tab w:val="right" w:pos="9915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Э.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sz w:val="28"/>
          <w:szCs w:val="28"/>
        </w:rPr>
      </w:r>
    </w:p>
    <w:p>
      <w:pPr>
        <w:spacing w:line="360" w:lineRule="exact"/>
        <w:tabs>
          <w:tab w:val="left" w:pos="135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12.12.2024 № 1222</w:t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ЗМЕ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ЕНИ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Культура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постановлением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администрации города Перми от 20</w:t>
      </w:r>
      <w:r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 xml:space="preserve">2021 г. № 919</w:t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1"/>
        <w:ind w:left="0" w:firstLine="709"/>
        <w:jc w:val="both"/>
        <w:rPr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 </w:t>
      </w:r>
      <w:r>
        <w:rPr>
          <w:sz w:val="28"/>
          <w:szCs w:val="28"/>
        </w:rPr>
      </w:r>
    </w:p>
    <w:p>
      <w:pPr>
        <w:pStyle w:val="787"/>
      </w:pPr>
      <w:r>
        <w:t xml:space="preserve">1.1. строки 1.3.1.1.5, 1.3.1.1.5.1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4"/>
        <w:gridCol w:w="3047"/>
        <w:gridCol w:w="511"/>
        <w:gridCol w:w="350"/>
        <w:gridCol w:w="430"/>
        <w:gridCol w:w="573"/>
        <w:gridCol w:w="433"/>
        <w:gridCol w:w="430"/>
        <w:gridCol w:w="2624"/>
        <w:gridCol w:w="1288"/>
        <w:gridCol w:w="715"/>
        <w:gridCol w:w="715"/>
        <w:gridCol w:w="1253"/>
        <w:gridCol w:w="659"/>
        <w:gridCol w:w="5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</w:t>
            </w:r>
            <w:r>
              <w:rPr>
                <w:lang w:eastAsia="en-US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8" w:type="pct"/>
            <w:textDirection w:val="lrTb"/>
            <w:noWrap w:val="false"/>
          </w:tcPr>
          <w:p>
            <w:pPr>
              <w:pStyle w:val="781"/>
            </w:pPr>
            <w:r>
              <w:t xml:space="preserve">Оснащение оборудованием муниципальных дворцов культуры, центров досуга, клубов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1.3.1.1.5.1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pct"/>
            <w:textDirection w:val="lrTb"/>
            <w:noWrap w:val="false"/>
          </w:tcPr>
          <w:p>
            <w:pPr>
              <w:pStyle w:val="777"/>
              <w:jc w:val="lef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учреждений культурно-досугового типа, которыми реализованы мероприятия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МАУК «ПГДК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им. А.Г. Солдатова»</w:t>
            </w:r>
            <w:r>
              <w:rPr>
                <w:lang w:eastAsia="en-US"/>
              </w:rPr>
            </w:r>
          </w:p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21500,0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" w:type="pct"/>
            <w:textDirection w:val="lrTb"/>
            <w:noWrap w:val="false"/>
          </w:tcPr>
          <w:p>
            <w:pPr>
              <w:pStyle w:val="777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</w:t>
            </w:r>
            <w:r>
              <w:rPr>
                <w:lang w:eastAsia="en-US"/>
              </w:rPr>
            </w:r>
          </w:p>
        </w:tc>
      </w:tr>
    </w:tbl>
    <w:p>
      <w:pPr>
        <w:pStyle w:val="787"/>
      </w:pPr>
      <w:r/>
      <w:r/>
    </w:p>
    <w:p>
      <w:pPr>
        <w:pStyle w:val="787"/>
      </w:pPr>
      <w:r>
        <w:t xml:space="preserve">1.2. после строки 1.3.1.1.5.1 дополнить строкой 1.3.1.1.5.2 следующего содержания: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4"/>
        <w:gridCol w:w="3764"/>
        <w:gridCol w:w="626"/>
        <w:gridCol w:w="448"/>
        <w:gridCol w:w="567"/>
        <w:gridCol w:w="463"/>
        <w:gridCol w:w="422"/>
        <w:gridCol w:w="425"/>
        <w:gridCol w:w="1686"/>
        <w:gridCol w:w="1288"/>
        <w:gridCol w:w="715"/>
        <w:gridCol w:w="715"/>
        <w:gridCol w:w="1253"/>
        <w:gridCol w:w="659"/>
        <w:gridCol w:w="55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1.3.1.1.5.2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8" w:type="pct"/>
            <w:textDirection w:val="lrTb"/>
            <w:noWrap w:val="false"/>
          </w:tcPr>
          <w:p>
            <w:pPr>
              <w:pStyle w:val="777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787"/>
      </w:pPr>
      <w:r/>
      <w:r/>
    </w:p>
    <w:p>
      <w:pPr>
        <w:pStyle w:val="77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83"/>
        <w:ind w:firstLine="709"/>
        <w:rPr>
          <w:bCs/>
        </w:rPr>
      </w:pPr>
      <w:r>
        <w:rPr>
          <w:bCs/>
        </w:rPr>
        <w:t xml:space="preserve">2. В приложении 3:</w:t>
      </w:r>
      <w:r>
        <w:rPr>
          <w:bCs/>
        </w:rPr>
      </w:r>
    </w:p>
    <w:p>
      <w:pPr>
        <w:pStyle w:val="787"/>
      </w:pPr>
      <w:r>
        <w:rPr>
          <w:bCs/>
        </w:rPr>
        <w:t xml:space="preserve">2.1. </w:t>
      </w:r>
      <w:r>
        <w:t xml:space="preserve">строки 1.3.1.1.5, 1.3.1.1.5.1 изложить в следующей редакции: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4"/>
        <w:gridCol w:w="2888"/>
        <w:gridCol w:w="2102"/>
        <w:gridCol w:w="1303"/>
        <w:gridCol w:w="1303"/>
        <w:gridCol w:w="2853"/>
        <w:gridCol w:w="508"/>
        <w:gridCol w:w="472"/>
        <w:gridCol w:w="1167"/>
        <w:gridCol w:w="100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</w:t>
            </w:r>
            <w:r>
              <w:rPr>
                <w:lang w:eastAsia="en-US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1" w:type="pct"/>
            <w:textDirection w:val="lrTb"/>
            <w:noWrap w:val="false"/>
          </w:tcPr>
          <w:p>
            <w:pPr>
              <w:pStyle w:val="781"/>
            </w:pPr>
            <w:r>
              <w:t xml:space="preserve">Оснащение оборудованием муниципальных дворцов культуры, центров досуга, клубов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1.3.1.1.5.1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pct"/>
            <w:textDirection w:val="lrTb"/>
            <w:noWrap w:val="false"/>
          </w:tcPr>
          <w:p>
            <w:pPr>
              <w:pStyle w:val="777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оснащению оборудованием муниципальных дворцов культуры, центров досуга, клубов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МАУК «ПГДК им. А.Г. Солдатова»</w:t>
            </w:r>
            <w:r>
              <w:rPr>
                <w:lang w:eastAsia="en-US"/>
              </w:rPr>
            </w:r>
          </w:p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01.12.2024</w:t>
            </w:r>
            <w:r>
              <w:rPr>
                <w:lang w:eastAsia="en-US"/>
              </w:rPr>
            </w:r>
          </w:p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31.12.2024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учреждений культурно-досугового типа, которыми реализованы мероприятия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Пермского края</w:t>
            </w:r>
            <w:r>
              <w:rPr>
                <w:lang w:eastAsia="en-US"/>
              </w:rPr>
            </w:r>
          </w:p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21500,0</w:t>
            </w:r>
            <w:r>
              <w:rPr>
                <w:lang w:eastAsia="en-US"/>
              </w:rPr>
            </w:r>
          </w:p>
        </w:tc>
      </w:tr>
    </w:tbl>
    <w:p>
      <w:pPr>
        <w:pStyle w:val="783"/>
        <w:ind w:firstLine="70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87"/>
      </w:pPr>
      <w:r>
        <w:rPr>
          <w:bCs/>
        </w:rPr>
        <w:t xml:space="preserve">2.2. </w:t>
      </w:r>
      <w:r>
        <w:t xml:space="preserve">после строки 1.3.1.1.5.1 дополнить строкой 1.3.1.1.5.2 следующего содержания: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4"/>
        <w:gridCol w:w="3464"/>
        <w:gridCol w:w="1274"/>
        <w:gridCol w:w="1303"/>
        <w:gridCol w:w="1303"/>
        <w:gridCol w:w="3102"/>
        <w:gridCol w:w="508"/>
        <w:gridCol w:w="472"/>
        <w:gridCol w:w="1167"/>
        <w:gridCol w:w="10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pStyle w:val="777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1.3.1.1.5.2</w:t>
            </w:r>
            <w:r>
              <w:rPr>
                <w:lang w:eastAsia="en-US"/>
              </w:rPr>
            </w:r>
          </w:p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7" w:type="pct"/>
            <w:textDirection w:val="lrTb"/>
            <w:noWrap w:val="false"/>
          </w:tcPr>
          <w:p>
            <w:pPr>
              <w:pStyle w:val="777"/>
              <w:jc w:val="lef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/>
            <w:bookmarkStart w:id="0" w:name="_GoBack"/>
            <w:r/>
            <w:bookmarkEnd w:id="0"/>
            <w:r/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pStyle w:val="77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783"/>
        <w:ind w:firstLine="70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71"/>
        <w:ind w:left="0" w:firstLine="709"/>
        <w:rPr>
          <w:bCs/>
        </w:rPr>
        <w:outlineLvl w:val="1"/>
      </w:pPr>
      <w:r>
        <w:rPr>
          <w:bCs/>
        </w:rPr>
      </w:r>
      <w:r>
        <w:rPr>
          <w:bCs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753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2"/>
      </w:rPr>
      <w:framePr w:wrap="around" w:vAnchor="text" w:hAnchor="margin" w:xAlign="center" w:y="1"/>
    </w:pPr>
    <w:r>
      <w:rPr>
        <w:rStyle w:val="752"/>
      </w:rPr>
      <w:fldChar w:fldCharType="begin"/>
    </w:r>
    <w:r>
      <w:rPr>
        <w:rStyle w:val="752"/>
      </w:rPr>
      <w:instrText xml:space="preserve">PAGE  </w:instrText>
    </w:r>
    <w:r>
      <w:rPr>
        <w:rStyle w:val="752"/>
      </w:rPr>
      <w:fldChar w:fldCharType="end"/>
    </w:r>
    <w:r>
      <w:rPr>
        <w:rStyle w:val="752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2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2"/>
    <w:link w:val="73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9"/>
    <w:next w:val="7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9"/>
    <w:next w:val="7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29"/>
    <w:next w:val="7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53"/>
    <w:uiPriority w:val="99"/>
  </w:style>
  <w:style w:type="character" w:styleId="45">
    <w:name w:val="Footer Char"/>
    <w:basedOn w:val="732"/>
    <w:link w:val="750"/>
    <w:uiPriority w:val="99"/>
  </w:style>
  <w:style w:type="character" w:styleId="47">
    <w:name w:val="Caption Char"/>
    <w:basedOn w:val="745"/>
    <w:link w:val="750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0">
    <w:name w:val="Heading 1"/>
    <w:basedOn w:val="729"/>
    <w:next w:val="729"/>
    <w:link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31">
    <w:name w:val="Heading 2"/>
    <w:basedOn w:val="729"/>
    <w:next w:val="729"/>
    <w:link w:val="744"/>
    <w:qFormat/>
    <w:pPr>
      <w:ind w:right="-1"/>
      <w:jc w:val="both"/>
      <w:keepNext/>
      <w:outlineLvl w:val="1"/>
    </w:pPr>
    <w:rPr>
      <w:sz w:val="24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 w:customStyle="1">
    <w:name w:val="ConsPlusNormal"/>
    <w:link w:val="770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37" w:customStyle="1">
    <w:name w:val="ConsPlusTitle"/>
    <w:link w:val="784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7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7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43" w:customStyle="1">
    <w:name w:val="Заголовок 1 Знак"/>
    <w:basedOn w:val="732"/>
    <w:link w:val="73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44" w:customStyle="1">
    <w:name w:val="Заголовок 2 Знак"/>
    <w:basedOn w:val="732"/>
    <w:link w:val="73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6">
    <w:name w:val="Body Text"/>
    <w:basedOn w:val="729"/>
    <w:link w:val="747"/>
    <w:pPr>
      <w:ind w:right="3117"/>
    </w:pPr>
    <w:rPr>
      <w:rFonts w:ascii="Courier New" w:hAnsi="Courier New"/>
      <w:sz w:val="26"/>
    </w:rPr>
  </w:style>
  <w:style w:type="character" w:styleId="747" w:customStyle="1">
    <w:name w:val="Основной текст Знак"/>
    <w:basedOn w:val="732"/>
    <w:link w:val="746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748">
    <w:name w:val="Body Text Indent"/>
    <w:basedOn w:val="729"/>
    <w:link w:val="749"/>
    <w:pPr>
      <w:ind w:right="-1"/>
      <w:jc w:val="both"/>
    </w:pPr>
    <w:rPr>
      <w:sz w:val="26"/>
    </w:rPr>
  </w:style>
  <w:style w:type="character" w:styleId="749" w:customStyle="1">
    <w:name w:val="Основной текст с отступом Знак"/>
    <w:basedOn w:val="732"/>
    <w:link w:val="74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750">
    <w:name w:val="Footer"/>
    <w:basedOn w:val="729"/>
    <w:link w:val="751"/>
    <w:pPr>
      <w:tabs>
        <w:tab w:val="center" w:pos="4153" w:leader="none"/>
        <w:tab w:val="right" w:pos="8306" w:leader="none"/>
      </w:tabs>
    </w:pPr>
  </w:style>
  <w:style w:type="character" w:styleId="751" w:customStyle="1">
    <w:name w:val="Нижний колонтитул Знак"/>
    <w:basedOn w:val="732"/>
    <w:link w:val="75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2">
    <w:name w:val="page number"/>
    <w:basedOn w:val="732"/>
  </w:style>
  <w:style w:type="paragraph" w:styleId="753">
    <w:name w:val="Header"/>
    <w:basedOn w:val="729"/>
    <w:link w:val="754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Верхний колонтитул Знак"/>
    <w:basedOn w:val="732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5">
    <w:name w:val="Balloon Text"/>
    <w:basedOn w:val="729"/>
    <w:link w:val="756"/>
    <w:uiPriority w:val="99"/>
    <w:rPr>
      <w:rFonts w:ascii="Segoe UI" w:hAnsi="Segoe UI" w:cs="Segoe UI"/>
      <w:sz w:val="18"/>
      <w:szCs w:val="18"/>
    </w:rPr>
  </w:style>
  <w:style w:type="character" w:styleId="756" w:customStyle="1">
    <w:name w:val="Текст выноски Знак"/>
    <w:basedOn w:val="732"/>
    <w:link w:val="755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57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58" w:customStyle="1">
    <w:name w:val="Приложение"/>
    <w:basedOn w:val="74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759" w:customStyle="1">
    <w:name w:val="Подпись на  бланке должностного лица"/>
    <w:basedOn w:val="729"/>
    <w:next w:val="746"/>
    <w:pPr>
      <w:ind w:left="7088"/>
      <w:spacing w:before="480" w:line="240" w:lineRule="exact"/>
    </w:pPr>
    <w:rPr>
      <w:sz w:val="28"/>
    </w:rPr>
  </w:style>
  <w:style w:type="paragraph" w:styleId="760">
    <w:name w:val="Signature"/>
    <w:basedOn w:val="729"/>
    <w:next w:val="746"/>
    <w:link w:val="76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761" w:customStyle="1">
    <w:name w:val="Подпись Знак"/>
    <w:basedOn w:val="732"/>
    <w:link w:val="76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62">
    <w:name w:val="annotation reference"/>
    <w:uiPriority w:val="99"/>
    <w:unhideWhenUsed/>
    <w:rPr>
      <w:sz w:val="16"/>
      <w:szCs w:val="16"/>
    </w:rPr>
  </w:style>
  <w:style w:type="paragraph" w:styleId="763" w:customStyle="1">
    <w:name w:val="Текст примечания1"/>
    <w:basedOn w:val="729"/>
    <w:next w:val="765"/>
    <w:link w:val="764"/>
    <w:uiPriority w:val="99"/>
    <w:semiHidden/>
    <w:unhideWhenUsed/>
    <w:pPr>
      <w:spacing w:after="160"/>
    </w:pPr>
  </w:style>
  <w:style w:type="character" w:styleId="764" w:customStyle="1">
    <w:name w:val="Текст примечания Знак"/>
    <w:link w:val="7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5">
    <w:name w:val="annotation text"/>
    <w:basedOn w:val="729"/>
    <w:link w:val="766"/>
    <w:pPr>
      <w:ind w:firstLine="720"/>
      <w:jc w:val="both"/>
    </w:pPr>
  </w:style>
  <w:style w:type="character" w:styleId="766" w:customStyle="1">
    <w:name w:val="Текст примечания Знак1"/>
    <w:basedOn w:val="732"/>
    <w:link w:val="765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67">
    <w:name w:val="Table Grid"/>
    <w:basedOn w:val="7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8">
    <w:name w:val="annotation subject"/>
    <w:basedOn w:val="765"/>
    <w:next w:val="765"/>
    <w:link w:val="769"/>
    <w:uiPriority w:val="99"/>
    <w:semiHidden/>
    <w:unhideWhenUsed/>
    <w:pPr>
      <w:ind w:firstLine="0"/>
      <w:jc w:val="left"/>
    </w:pPr>
    <w:rPr>
      <w:b/>
      <w:bCs/>
    </w:rPr>
  </w:style>
  <w:style w:type="character" w:styleId="769" w:customStyle="1">
    <w:name w:val="Тема примечания Знак"/>
    <w:basedOn w:val="766"/>
    <w:link w:val="76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70" w:customStyle="1">
    <w:name w:val="ConsPlusNormal Знак"/>
    <w:link w:val="735"/>
    <w:rPr>
      <w:rFonts w:ascii="Calibri" w:hAnsi="Calibri" w:eastAsia="Times New Roman" w:cs="Calibri"/>
      <w:szCs w:val="20"/>
      <w:lang w:eastAsia="ru-RU"/>
    </w:rPr>
  </w:style>
  <w:style w:type="paragraph" w:styleId="771">
    <w:name w:val="List Paragraph"/>
    <w:basedOn w:val="729"/>
    <w:uiPriority w:val="34"/>
    <w:qFormat/>
    <w:pPr>
      <w:contextualSpacing/>
      <w:ind w:left="720"/>
    </w:pPr>
  </w:style>
  <w:style w:type="paragraph" w:styleId="772">
    <w:name w:val="Plain Text"/>
    <w:basedOn w:val="729"/>
    <w:link w:val="773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773" w:customStyle="1">
    <w:name w:val="Текст Знак"/>
    <w:basedOn w:val="732"/>
    <w:link w:val="772"/>
    <w:uiPriority w:val="99"/>
    <w:semiHidden/>
    <w:rPr>
      <w:rFonts w:ascii="Calibri" w:hAnsi="Calibri"/>
      <w:szCs w:val="21"/>
    </w:rPr>
  </w:style>
  <w:style w:type="numbering" w:styleId="774" w:customStyle="1">
    <w:name w:val="Нет списка1"/>
    <w:next w:val="734"/>
    <w:uiPriority w:val="99"/>
    <w:semiHidden/>
    <w:unhideWhenUsed/>
  </w:style>
  <w:style w:type="numbering" w:styleId="775" w:customStyle="1">
    <w:name w:val="Нет списка2"/>
    <w:next w:val="734"/>
    <w:uiPriority w:val="99"/>
    <w:semiHidden/>
    <w:unhideWhenUsed/>
  </w:style>
  <w:style w:type="character" w:styleId="776">
    <w:name w:val="Hyperlink"/>
    <w:basedOn w:val="732"/>
    <w:uiPriority w:val="99"/>
    <w:semiHidden/>
    <w:unhideWhenUsed/>
    <w:rPr>
      <w:color w:val="0000ff"/>
      <w:u w:val="single"/>
    </w:rPr>
  </w:style>
  <w:style w:type="paragraph" w:styleId="777" w:customStyle="1">
    <w:name w:val="таймс 12"/>
    <w:basedOn w:val="735"/>
    <w:link w:val="779"/>
    <w:qFormat/>
    <w:pPr>
      <w:jc w:val="center"/>
    </w:pPr>
    <w:rPr>
      <w:rFonts w:ascii="Times New Roman" w:hAnsi="Times New Roman" w:cs="Times New Roman"/>
      <w:sz w:val="24"/>
    </w:rPr>
  </w:style>
  <w:style w:type="paragraph" w:styleId="778" w:customStyle="1">
    <w:name w:val="таймс 10"/>
    <w:basedOn w:val="735"/>
    <w:link w:val="780"/>
    <w:qFormat/>
    <w:pPr>
      <w:jc w:val="center"/>
    </w:pPr>
    <w:rPr>
      <w:rFonts w:ascii="Times New Roman" w:hAnsi="Times New Roman" w:cs="Times New Roman"/>
      <w:sz w:val="20"/>
    </w:rPr>
  </w:style>
  <w:style w:type="character" w:styleId="779" w:customStyle="1">
    <w:name w:val="таймс 12 Знак"/>
    <w:basedOn w:val="770"/>
    <w:link w:val="77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80" w:customStyle="1">
    <w:name w:val="таймс 10 Знак"/>
    <w:basedOn w:val="770"/>
    <w:link w:val="77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1" w:customStyle="1">
    <w:name w:val="таймс 12 по ширине"/>
    <w:basedOn w:val="729"/>
    <w:link w:val="782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782" w:customStyle="1">
    <w:name w:val="таймс 12 по ширине Знак"/>
    <w:basedOn w:val="732"/>
    <w:link w:val="781"/>
    <w:rPr>
      <w:rFonts w:ascii="Times New Roman" w:hAnsi="Times New Roman" w:cs="Times New Roman"/>
      <w:sz w:val="24"/>
      <w:szCs w:val="24"/>
    </w:rPr>
  </w:style>
  <w:style w:type="paragraph" w:styleId="783" w:customStyle="1">
    <w:name w:val="14"/>
    <w:basedOn w:val="729"/>
    <w:link w:val="785"/>
    <w:qFormat/>
    <w:pPr>
      <w:ind w:firstLine="708"/>
      <w:jc w:val="both"/>
    </w:pPr>
    <w:rPr>
      <w:rFonts w:eastAsiaTheme="minorEastAsia"/>
      <w:sz w:val="28"/>
    </w:rPr>
  </w:style>
  <w:style w:type="character" w:styleId="784" w:customStyle="1">
    <w:name w:val="ConsPlusTitle Знак"/>
    <w:basedOn w:val="732"/>
    <w:link w:val="737"/>
    <w:rPr>
      <w:rFonts w:ascii="Calibri" w:hAnsi="Calibri" w:eastAsia="Times New Roman" w:cs="Calibri"/>
      <w:b/>
      <w:szCs w:val="20"/>
      <w:lang w:eastAsia="ru-RU"/>
    </w:rPr>
  </w:style>
  <w:style w:type="character" w:styleId="785" w:customStyle="1">
    <w:name w:val="14 Знак"/>
    <w:basedOn w:val="732"/>
    <w:link w:val="783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786" w:customStyle="1">
    <w:name w:val="таймс 14 Знак"/>
    <w:basedOn w:val="784"/>
    <w:link w:val="787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787" w:customStyle="1">
    <w:name w:val="таймс 14"/>
    <w:basedOn w:val="737"/>
    <w:link w:val="786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788">
    <w:name w:val="Normal (Web)"/>
    <w:basedOn w:val="729"/>
    <w:uiPriority w:val="99"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2648-632C-4CDC-A58D-930D0005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samokhvalova-ev</cp:lastModifiedBy>
  <cp:revision>4</cp:revision>
  <dcterms:created xsi:type="dcterms:W3CDTF">2024-12-06T05:30:00Z</dcterms:created>
  <dcterms:modified xsi:type="dcterms:W3CDTF">2024-12-12T09:35:36Z</dcterms:modified>
</cp:coreProperties>
</file>