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                                               УТВЕРЖД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ЕНА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распоряжением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и.о. глав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ы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администрации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                                                                                    Орджоникидзевского района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                                                                города Перми</w:t>
      </w:r>
      <w:bookmarkStart w:id="0" w:name="undefined"/>
      <w:r/>
      <w:bookmarkEnd w:id="0"/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«17» 12. 2024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tabs>
          <w:tab w:val="left" w:pos="5760" w:leader="none"/>
        </w:tabs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059-37-01-04-150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firstLine="453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</w:p>
    <w:p>
      <w:pPr>
        <w:ind w:firstLine="4536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 В СФЕРЕ БЛАГОУСТРОЙСТВА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ОРДЖОНИКИДЗЕВСКОГО РАОЙНА ГОРОДА ПЕРМИ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муниципальному контролю в сфере благоустройства на территории Орджоникидзевского района гор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 Перми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 профилактики)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статьей 44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.07.2020 №</w:t>
      </w:r>
      <w:r>
        <w:rPr>
          <w:rFonts w:ascii="Times New Roman" w:hAnsi="Times New Roman" w:cs="Times New Roman"/>
          <w:sz w:val="28"/>
          <w:szCs w:val="28"/>
        </w:rPr>
        <w:t xml:space="preserve"> 248</w:t>
      </w:r>
      <w:r>
        <w:rPr>
          <w:rFonts w:ascii="Times New Roman" w:hAnsi="Times New Roman" w:cs="Times New Roman"/>
          <w:sz w:val="28"/>
          <w:szCs w:val="28"/>
        </w:rPr>
        <w:t xml:space="preserve">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№ 990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202</w:t>
      </w:r>
      <w:r>
        <w:rPr>
          <w:rFonts w:ascii="Times New Roman" w:hAnsi="Times New Roman" w:cs="Times New Roman"/>
          <w:sz w:val="28"/>
          <w:szCs w:val="28"/>
        </w:rPr>
        <w:t xml:space="preserve">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firstLine="567"/>
        <w:jc w:val="both"/>
        <w:rPr>
          <w:rFonts w:ascii="Times New Roman" w:hAnsi="Times New Roman" w:eastAsia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В соответствии с пунктом 3.5.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решения Пермской городской Думы от </w:t>
        <w:br/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9.01.2013 № 7 «О территориальных органах администрации города Перми», администрация Орджоникидзевского района города Перми осуществляет в пределах своей компетенции муниципальный контроль в сфере благоустройства на территории города Перми.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в сфере благоустройства является соблюдение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в том числе осуществляющими предпринимательскую деятельность, Правил благоустройства,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(далее -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бязательные требования).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Проблемы, на решение которых направлена Программа профилактики: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администрацией Орджоникидзевского района города Перми работы по предупреждению нарушений юридическими и физическими лицами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администрации района по предупреждению нарушений юридическими и физическими лицами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уменьшение общего числа нарушений юридическими и физическими лицами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в целях стимулирования добросовестного соблюдения обязательных требований контролируемыми лицами, устранения условий, причин и факторов, спо</w:t>
      </w:r>
      <w:r>
        <w:rPr>
          <w:rFonts w:ascii="Times New Roman" w:hAnsi="Times New Roman" w:cs="Times New Roman"/>
          <w:sz w:val="28"/>
          <w:szCs w:val="28"/>
        </w:rPr>
        <w:t xml:space="preserve">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II. ЦЕЛИ И ЗАДАЧИ РЕАЛИЗАЦИИ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ПЕРМИ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активизации профилактической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правосознания и правовой культуры подконтрольных субъектов при соблюдении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6" w:bottom="1135" w:left="1418" w:header="708" w:footer="708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5"/>
        <w:gridCol w:w="2682"/>
        <w:gridCol w:w="5744"/>
        <w:gridCol w:w="2583"/>
        <w:gridCol w:w="3046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Интернет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http://raion.gorodperm.ru/ordzhonikidzevskij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средствах массовой информации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сроках и порядке их вступления в силу;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предметом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и план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плановых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способах получения консультаций по вопросам соблюдения обязательных требований;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доклады, содержащие результаты обобщения правоприменительной практики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внесении изменений в законодательство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6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начальника отдела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Орджоникидзевского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–Блинова Любовь Николаевна, тел. 263-53-52 (либо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замещающее ответственного исполнителя).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контролируемому лицу предостережение о недопустимости нарушения обязательных требований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готовящихся нарушениях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 признаках нарушений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в случае отсутствия подтвержденных данных о том, что нарушение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начальника отдела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Орджоникидзевского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–Блинова Любовь Николаевна, тел. 263-53-52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замещающее ответственного исполнителя).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онсультиров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территориальным органом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без взимания платы.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уполномоченным должностным лицом территориального органа, сотрудниками территориального органа по телефону,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видео-конференц-связи, на личном приеме либо в ходе проведения профилактических мероприятий, контрольных мероприятий.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консультирования не должно превышать 15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 следующим вопросам: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профилактических, контрольных мероприятий, установленных настоящим Положением.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письменной форме осуществляется в следующих случаях: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 лицом представлен письменный запрос о предоставлении письменного ответа по вопросам консультирования;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консультирования предоставить ответ на поставленные вопросы невозможно;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поставленные вопросы требует дополнительного запроса сведений от органов власти или иных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для консультирования: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263-53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-52, 263-52-04.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пн.-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9:00-18:00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пт.9:00-17:00.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с 12:00-12:48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приемной: 263-46-80,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aord@perm.permkrai.ru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83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начальника отдела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Орджоникидзевского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–Блинова Любовь Николаевна, тел. 263-53-52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замещающее ответственного исполнителя).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lef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IV. ПОКАЗАТЕЛИ РЕЗУЛЬТАТИВНОСТИ И ЭФФЕКТИВНОСТИ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 xml:space="preserve">РАММЫ ПРОФИЛАКТИКИ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6690"/>
        <w:gridCol w:w="2041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ключевого показателя,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- отчетный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предостережений о недопустимости нарушения обязательных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850" w:bottom="709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8" w:customStyle="1">
    <w:name w:val="Адресат"/>
    <w:basedOn w:val="832"/>
    <w:pPr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9">
    <w:name w:val="List Paragraph"/>
    <w:basedOn w:val="832"/>
    <w:uiPriority w:val="34"/>
    <w:qFormat/>
    <w:pPr>
      <w:contextualSpacing/>
      <w:ind w:left="720"/>
    </w:p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841">
    <w:name w:val="Hyperlink"/>
    <w:basedOn w:val="83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67BC-FDCB-4A77-B07E-3A0597D6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Сибиляйнен Сергей Юрьевич</dc:creator>
  <cp:keywords/>
  <dc:description/>
  <cp:revision>31</cp:revision>
  <dcterms:created xsi:type="dcterms:W3CDTF">2021-12-02T09:45:00Z</dcterms:created>
  <dcterms:modified xsi:type="dcterms:W3CDTF">2024-12-17T09:24:38Z</dcterms:modified>
</cp:coreProperties>
</file>