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jc w:val="right"/>
        <w:rPr>
          <w:sz w:val="24"/>
          <w:lang w:val="ru-RU"/>
        </w:rPr>
      </w:pPr>
      <w:r>
        <w:rPr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823179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823178"/>
                          <a:chOff x="0" y="0"/>
                          <a:chExt cx="6285864" cy="1823178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658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6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8"/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8444" y="1461228"/>
                            <a:ext cx="1536064" cy="361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8"/>
                                <w:rPr>
                                  <w:sz w:val="28"/>
                                  <w:szCs w:val="28"/>
                                  <w:u w:val="single"/>
                                  <w14:ligatures w14:val="none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13.12.2024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  <w14:ligatures w14:val="none"/>
                                </w:rPr>
                              </w:r>
                            </w:p>
                            <w:p>
                              <w:pPr>
                                <w:pStyle w:val="85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0299" y="1461228"/>
                            <a:ext cx="1085850" cy="361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43.56pt;mso-wrap-distance-left:9.00pt;mso-wrap-distance-top:0.00pt;mso-wrap-distance-right:9.00pt;mso-wrap-distance-bottom:0.00pt;" coordorigin="0,0" coordsize="62858,18231">
                <v:shape id="shape 3" o:spid="_x0000_s3" o:spt="202" type="#_x0000_t202" style="position:absolute;left:0;top:0;width:62858;height:16586;visibility:visible;" fillcolor="#FFFFFF" stroked="f">
                  <v:textbox inset="0,0,0,0">
                    <w:txbxContent>
                      <w:p>
                        <w:pPr>
                          <w:pStyle w:val="86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8"/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2584;top:14612;width:15360;height:3619;visibility:visible;" filled="f" stroked="f">
                  <v:textbox inset="0,0,0,0">
                    <w:txbxContent>
                      <w:p>
                        <w:pPr>
                          <w:pStyle w:val="858"/>
                          <w:rPr>
                            <w:sz w:val="28"/>
                            <w:szCs w:val="28"/>
                            <w:u w:val="single"/>
                            <w14:ligatures w14:val="none"/>
                          </w:rPr>
                        </w:pPr>
                        <w:r>
                          <w:rPr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13.12.2024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  <w14:ligatures w14:val="none"/>
                          </w:rPr>
                        </w:r>
                      </w:p>
                      <w:p>
                        <w:pPr>
                          <w:pStyle w:val="85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49402;top:14612;width:10858;height:3619;visibility:visible;" fillcolor="#FFFFFF" stroked="f">
                  <v:textbox inset="0,0,0,0">
                    <w:txbxContent>
                      <w:p>
                        <w:pPr>
                          <w:pStyle w:val="85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  <w:lang w:val="ru-RU"/>
        </w:rPr>
        <w:t xml:space="preserve">1030</w:t>
      </w: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pStyle w:val="86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5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размер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нормативных затрат </w:t>
      </w:r>
      <w:r>
        <w:rPr>
          <w:b/>
          <w:sz w:val="28"/>
          <w:szCs w:val="28"/>
        </w:rPr>
        <w:t xml:space="preserve">на содержание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имущества, уплату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налогов </w:t>
      </w:r>
      <w:r>
        <w:rPr>
          <w:b/>
          <w:sz w:val="28"/>
          <w:szCs w:val="28"/>
        </w:rPr>
        <w:t xml:space="preserve">на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 и плановый </w:t>
      </w:r>
      <w:r>
        <w:rPr>
          <w:b/>
          <w:sz w:val="28"/>
          <w:szCs w:val="28"/>
        </w:rPr>
        <w:t xml:space="preserve">период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годов, </w:t>
      </w:r>
      <w:r>
        <w:rPr>
          <w:b/>
          <w:sz w:val="28"/>
          <w:szCs w:val="28"/>
        </w:rPr>
        <w:t xml:space="preserve">утвержденный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</w:t>
      </w: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13.10.2023 </w:t>
      </w:r>
      <w:r>
        <w:rPr>
          <w:b/>
          <w:sz w:val="28"/>
          <w:szCs w:val="28"/>
        </w:rPr>
        <w:t xml:space="preserve">№</w:t>
      </w:r>
      <w:r>
        <w:rPr>
          <w:b/>
          <w:sz w:val="28"/>
          <w:szCs w:val="28"/>
        </w:rPr>
        <w:t xml:space="preserve"> 1030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8"/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размера нормативных затрат </w:t>
      </w:r>
      <w:r>
        <w:rPr>
          <w:b/>
          <w:sz w:val="28"/>
          <w:szCs w:val="28"/>
        </w:rPr>
        <w:t xml:space="preserve">на оказание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Реализация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основных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общеобразовательных программ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8"/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дошкольного образования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нормативных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затрат на содержание муниципального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имущества, </w:t>
      </w:r>
      <w:r>
        <w:rPr>
          <w:b/>
          <w:sz w:val="28"/>
          <w:szCs w:val="28"/>
        </w:rPr>
        <w:t xml:space="preserve">уплату налогов на 2024 год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8"/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2025 и 2026 годов,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отраслевых корректирующих </w:t>
      </w:r>
      <w:r>
        <w:rPr>
          <w:b/>
          <w:sz w:val="28"/>
          <w:szCs w:val="28"/>
        </w:rPr>
        <w:t xml:space="preserve">коэффициентов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базовому </w:t>
      </w:r>
      <w:r>
        <w:rPr>
          <w:b/>
          <w:sz w:val="28"/>
          <w:szCs w:val="28"/>
        </w:rPr>
        <w:t xml:space="preserve">нормативу затрат на оказание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8"/>
        <w:ind w:right="381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Реализация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8"/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основных общеобразовательных </w:t>
      </w:r>
      <w:r>
        <w:rPr>
          <w:b/>
          <w:sz w:val="28"/>
          <w:szCs w:val="28"/>
        </w:rPr>
        <w:t xml:space="preserve">программ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дошкольного образования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 значений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натуральных норм, </w:t>
      </w:r>
      <w:r>
        <w:rPr>
          <w:b/>
          <w:sz w:val="28"/>
          <w:szCs w:val="28"/>
        </w:rPr>
        <w:t xml:space="preserve">необходимых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для определения базовых нормативов затрат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оказание муниципальной услуги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819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Реализация </w:t>
      </w:r>
      <w:r>
        <w:rPr>
          <w:b/>
          <w:sz w:val="28"/>
          <w:szCs w:val="28"/>
        </w:rPr>
        <w:t xml:space="preserve">основных общеобразовательных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8"/>
        <w:ind w:right="381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 дошкольного образования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firstLine="720"/>
        <w:jc w:val="both"/>
        <w:rPr>
          <w:bCs/>
          <w:sz w:val="28"/>
          <w:szCs w:val="28"/>
        </w:rPr>
        <w:suppressLineNumbers w:val="0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Внести изменения </w:t>
      </w:r>
      <w:r>
        <w:rPr>
          <w:sz w:val="28"/>
          <w:szCs w:val="28"/>
        </w:rPr>
        <w:t xml:space="preserve">в размер нормативных затрат на содержание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имущества, уплату налогов на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 и плановый период </w:t>
        <w:br/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годов, утвержденный постановлением адми</w:t>
      </w:r>
      <w:r>
        <w:rPr>
          <w:sz w:val="28"/>
          <w:szCs w:val="28"/>
        </w:rPr>
        <w:t xml:space="preserve">нистрации города Перми от</w:t>
      </w:r>
      <w:r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1030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размера нормативных затрат </w:t>
      </w:r>
      <w:r>
        <w:rPr>
          <w:sz w:val="28"/>
          <w:szCs w:val="28"/>
        </w:rPr>
        <w:t xml:space="preserve">на оказание муниципальной услуги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Реализация основных общеобразовательных программ дошкольного образования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 нормативных затрат на содержание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имущества, уплату налогов на 2024 год и плановый период </w:t>
        <w:br/>
        <w:t xml:space="preserve">2025 </w:t>
      </w:r>
      <w:r>
        <w:rPr>
          <w:sz w:val="28"/>
          <w:szCs w:val="28"/>
        </w:rPr>
        <w:t xml:space="preserve">и 2026 годов, отраслевых корректирующих коэффициентов к базовому нормативу затрат на оказание муниципальной услуги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Реализация основных общеобразов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тельных программ дошкольного образования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значений натуральных норм, 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обходимых для определения базов</w:t>
      </w:r>
      <w:r>
        <w:rPr>
          <w:sz w:val="28"/>
          <w:szCs w:val="28"/>
        </w:rPr>
        <w:t xml:space="preserve">ых нормативов затрат на оказание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Реализация основных общеобразовательных программ дошкол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образования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</w:t>
      </w:r>
      <w:r>
        <w:t xml:space="preserve"> </w:t>
      </w:r>
      <w:r>
        <w:rPr>
          <w:sz w:val="28"/>
          <w:szCs w:val="28"/>
        </w:rPr>
        <w:t xml:space="preserve">от 02.02.2024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61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изложив </w:t>
      </w:r>
      <w:r>
        <w:rPr>
          <w:sz w:val="28"/>
          <w:szCs w:val="28"/>
        </w:rPr>
        <w:t xml:space="preserve">строку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следующей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51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1"/>
        <w:gridCol w:w="3989"/>
        <w:gridCol w:w="1884"/>
        <w:gridCol w:w="1884"/>
        <w:gridCol w:w="188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" w:type="pct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8" w:type="pct"/>
            <w:vAlign w:val="top"/>
            <w:textDirection w:val="lrTb"/>
            <w:noWrap w:val="false"/>
          </w:tcPr>
          <w:p>
            <w:pPr>
              <w:pStyle w:val="8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Нормативные затраты на содерж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ние муниципального имущества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9" w:type="pct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169 046 339,35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9" w:type="pct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773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487,26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9" w:type="pct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773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487,26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 и действует по 31 декабря 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firstLine="709"/>
        <w:jc w:val="both"/>
        <w:spacing w:after="720"/>
        <w:rPr>
          <w:sz w:val="28"/>
          <w:szCs w:val="28"/>
          <w:lang w:val="en-US" w:eastAsia="en-US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Контроль за исполнением настоящего постановления возложить </w:t>
        <w:br w:type="textWrapping" w:clear="all"/>
        <w:t xml:space="preserve">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заместителя главы администрации города Перми </w:t>
      </w:r>
      <w:r>
        <w:rPr>
          <w:bCs/>
          <w:sz w:val="28"/>
          <w:szCs w:val="28"/>
        </w:rPr>
        <w:t xml:space="preserve">Мальцеву Е.Д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58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города Перми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0" w:h="16820" w:orient="portrait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mbria">
    <w:panose1 w:val="0204080305040603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86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rPr>
      <w:lang w:val="ru-RU" w:eastAsia="ru-RU" w:bidi="ar-SA"/>
    </w:rPr>
  </w:style>
  <w:style w:type="paragraph" w:styleId="859">
    <w:name w:val="Заголовок 1"/>
    <w:basedOn w:val="858"/>
    <w:next w:val="858"/>
    <w:link w:val="858"/>
    <w:qFormat/>
    <w:pPr>
      <w:ind w:right="-1" w:firstLine="709"/>
      <w:jc w:val="both"/>
      <w:keepNext/>
      <w:outlineLvl w:val="0"/>
    </w:pPr>
    <w:rPr>
      <w:sz w:val="24"/>
    </w:rPr>
  </w:style>
  <w:style w:type="paragraph" w:styleId="860">
    <w:name w:val="Заголовок 2"/>
    <w:basedOn w:val="858"/>
    <w:next w:val="858"/>
    <w:link w:val="858"/>
    <w:qFormat/>
    <w:pPr>
      <w:ind w:right="-1"/>
      <w:jc w:val="both"/>
      <w:keepNext/>
      <w:outlineLvl w:val="1"/>
    </w:pPr>
    <w:rPr>
      <w:sz w:val="24"/>
    </w:rPr>
  </w:style>
  <w:style w:type="character" w:styleId="861">
    <w:name w:val="Основной шрифт абзаца"/>
    <w:next w:val="861"/>
    <w:link w:val="858"/>
    <w:semiHidden/>
  </w:style>
  <w:style w:type="table" w:styleId="862">
    <w:name w:val="Обычная таблица"/>
    <w:next w:val="862"/>
    <w:link w:val="858"/>
    <w:semiHidden/>
    <w:tblPr/>
  </w:style>
  <w:style w:type="numbering" w:styleId="863">
    <w:name w:val="Нет списка"/>
    <w:next w:val="863"/>
    <w:link w:val="858"/>
    <w:semiHidden/>
  </w:style>
  <w:style w:type="paragraph" w:styleId="864">
    <w:name w:val="Название объекта"/>
    <w:basedOn w:val="858"/>
    <w:next w:val="858"/>
    <w:link w:val="85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65">
    <w:name w:val="Основной текст"/>
    <w:basedOn w:val="858"/>
    <w:next w:val="865"/>
    <w:link w:val="874"/>
    <w:pPr>
      <w:ind w:right="3117"/>
    </w:pPr>
    <w:rPr>
      <w:rFonts w:ascii="Courier New" w:hAnsi="Courier New"/>
      <w:sz w:val="26"/>
      <w:lang w:val="en-US" w:eastAsia="en-US"/>
    </w:rPr>
  </w:style>
  <w:style w:type="paragraph" w:styleId="866">
    <w:name w:val="Основной текст с отступом"/>
    <w:basedOn w:val="858"/>
    <w:next w:val="866"/>
    <w:link w:val="858"/>
    <w:pPr>
      <w:ind w:right="-1"/>
      <w:jc w:val="both"/>
    </w:pPr>
    <w:rPr>
      <w:sz w:val="26"/>
    </w:rPr>
  </w:style>
  <w:style w:type="paragraph" w:styleId="867">
    <w:name w:val="Нижний колонтитул"/>
    <w:basedOn w:val="858"/>
    <w:next w:val="867"/>
    <w:link w:val="878"/>
    <w:uiPriority w:val="99"/>
    <w:pPr>
      <w:tabs>
        <w:tab w:val="center" w:pos="4153" w:leader="none"/>
        <w:tab w:val="right" w:pos="8306" w:leader="none"/>
      </w:tabs>
    </w:pPr>
  </w:style>
  <w:style w:type="character" w:styleId="868">
    <w:name w:val="Номер страницы"/>
    <w:basedOn w:val="861"/>
    <w:next w:val="868"/>
    <w:link w:val="858"/>
  </w:style>
  <w:style w:type="paragraph" w:styleId="869">
    <w:name w:val="Верхний колонтитул"/>
    <w:basedOn w:val="858"/>
    <w:next w:val="869"/>
    <w:link w:val="872"/>
    <w:uiPriority w:val="99"/>
    <w:pPr>
      <w:tabs>
        <w:tab w:val="center" w:pos="4153" w:leader="none"/>
        <w:tab w:val="right" w:pos="8306" w:leader="none"/>
      </w:tabs>
    </w:pPr>
  </w:style>
  <w:style w:type="paragraph" w:styleId="870">
    <w:name w:val="Текст выноски"/>
    <w:basedOn w:val="858"/>
    <w:next w:val="870"/>
    <w:link w:val="871"/>
    <w:rPr>
      <w:rFonts w:ascii="Segoe UI" w:hAnsi="Segoe UI"/>
      <w:sz w:val="18"/>
      <w:szCs w:val="18"/>
      <w:lang w:val="en-US" w:eastAsia="en-US"/>
    </w:rPr>
  </w:style>
  <w:style w:type="character" w:styleId="871">
    <w:name w:val="Текст выноски Знак"/>
    <w:next w:val="871"/>
    <w:link w:val="870"/>
    <w:rPr>
      <w:rFonts w:ascii="Segoe UI" w:hAnsi="Segoe UI" w:cs="Segoe UI"/>
      <w:sz w:val="18"/>
      <w:szCs w:val="18"/>
    </w:rPr>
  </w:style>
  <w:style w:type="character" w:styleId="872">
    <w:name w:val="Верхний колонтитул Знак"/>
    <w:next w:val="872"/>
    <w:link w:val="869"/>
    <w:uiPriority w:val="99"/>
  </w:style>
  <w:style w:type="paragraph" w:styleId="873">
    <w:name w:val="Форма"/>
    <w:next w:val="873"/>
    <w:link w:val="858"/>
    <w:rPr>
      <w:sz w:val="28"/>
      <w:szCs w:val="28"/>
      <w:lang w:val="ru-RU" w:eastAsia="ru-RU" w:bidi="ar-SA"/>
    </w:rPr>
  </w:style>
  <w:style w:type="character" w:styleId="874">
    <w:name w:val="Основной текст Знак"/>
    <w:next w:val="874"/>
    <w:link w:val="865"/>
    <w:rPr>
      <w:rFonts w:ascii="Courier New" w:hAnsi="Courier New"/>
      <w:sz w:val="26"/>
    </w:rPr>
  </w:style>
  <w:style w:type="paragraph" w:styleId="875">
    <w:name w:val="ConsPlusTitle"/>
    <w:next w:val="875"/>
    <w:link w:val="858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876">
    <w:name w:val="Название"/>
    <w:basedOn w:val="858"/>
    <w:next w:val="858"/>
    <w:link w:val="877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877">
    <w:name w:val="Название Знак"/>
    <w:next w:val="877"/>
    <w:link w:val="876"/>
    <w:rPr>
      <w:rFonts w:ascii="Cambria" w:hAnsi="Cambria" w:eastAsia="Times New Roman" w:cs="Times New Roman"/>
      <w:b/>
      <w:bCs/>
      <w:sz w:val="32"/>
      <w:szCs w:val="32"/>
    </w:rPr>
  </w:style>
  <w:style w:type="character" w:styleId="878">
    <w:name w:val="Нижний колонтитул Знак"/>
    <w:basedOn w:val="861"/>
    <w:next w:val="878"/>
    <w:link w:val="867"/>
    <w:uiPriority w:val="99"/>
  </w:style>
  <w:style w:type="character" w:styleId="879">
    <w:name w:val="Гиперссылка"/>
    <w:next w:val="879"/>
    <w:link w:val="858"/>
    <w:rPr>
      <w:color w:val="0563c1"/>
      <w:u w:val="single"/>
    </w:rPr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23</cp:revision>
  <dcterms:created xsi:type="dcterms:W3CDTF">2022-10-25T08:20:00Z</dcterms:created>
  <dcterms:modified xsi:type="dcterms:W3CDTF">2024-12-13T05:57:52Z</dcterms:modified>
  <cp:version>983040</cp:version>
</cp:coreProperties>
</file>