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433969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33968"/>
                          <a:chOff x="0" y="0"/>
                          <a:chExt cx="6285864" cy="143396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5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019342"/>
                            <a:ext cx="1536064" cy="4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021739"/>
                            <a:ext cx="1085850" cy="412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112.91pt;mso-wrap-distance-left:9.00pt;mso-wrap-distance-top:0.00pt;mso-wrap-distance-right:9.00pt;mso-wrap-distance-bottom:0.00pt;" coordorigin="0,0" coordsize="62858,14339">
                <v:shape id="shape 2" o:spid="_x0000_s2" o:spt="202" type="#_x0000_t202" style="position:absolute;left:0;top:0;width:62858;height:12523;visibility:visible;" fillcolor="#FFFFFF" stroked="f">
                  <v:textbox inset="0,0,0,0">
                    <w:txbxContent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0193;width:15360;height:414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0217;width:10858;height:412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пункт 6.4</w:t>
      </w:r>
      <w:r>
        <w:rPr>
          <w:b/>
        </w:rPr>
        <w:br/>
        <w:t xml:space="preserve">Положения о рабочей группе </w:t>
      </w:r>
      <w:r>
        <w:rPr>
          <w:b/>
        </w:rPr>
        <w:br/>
        <w:t xml:space="preserve">по вопросам развития </w:t>
      </w:r>
      <w:r>
        <w:rPr>
          <w:b/>
        </w:rPr>
        <w:br/>
        <w:t xml:space="preserve">территориальных общественных </w:t>
      </w:r>
      <w:r>
        <w:rPr>
          <w:b/>
        </w:rPr>
        <w:br/>
        <w:t xml:space="preserve">самоуправлений и общественных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центров в городе Перми,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утвержденного постановлением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от 17.02.2022 № 97 «О создании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рабочей группы </w:t>
      </w:r>
      <w:r>
        <w:rPr>
          <w:b/>
        </w:rPr>
        <w:t xml:space="preserve">по вопросам развития </w:t>
      </w:r>
      <w:r>
        <w:rPr>
          <w:b/>
        </w:rPr>
        <w:br/>
        <w:t xml:space="preserve">территориальных общественных </w:t>
      </w:r>
      <w:r>
        <w:rPr>
          <w:b/>
        </w:rPr>
        <w:br/>
        <w:t xml:space="preserve">самоуправлений и общественных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центров в городе Перми</w:t>
      </w:r>
      <w:r>
        <w:rPr>
          <w:b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</w:pPr>
      <w:r>
        <w:t xml:space="preserve">1. Внести измен</w:t>
      </w:r>
      <w:r>
        <w:t xml:space="preserve">ения в пункт 6.4 Положения о рабочей группе по вопросам развития территориальных общественных самоуправлений и общественных центров в городе Перми, утвержденного постановлением администрации города Перми от 17 февраля 2022 г. № 97 «О создании </w:t>
      </w:r>
      <w:r>
        <w:t xml:space="preserve">рабочей группы по вопросам развития территориальных общественных самоуправлений и общественных центров в городе Перми</w:t>
      </w:r>
      <w:r>
        <w:t xml:space="preserve">» (в ред. от 01.06.2022 № 4</w:t>
      </w:r>
      <w:r>
        <w:t xml:space="preserve">31, от 04.08.2023 № 661,</w:t>
        <w:br/>
        <w:t xml:space="preserve">от 10.10.2023 № 955, от 24.01.2024 № 45), заменив слова «экспертов в области деятельности ТОС» словами «экспертов в области развития местного самоуправления».</w:t>
      </w:r>
      <w:r/>
    </w:p>
    <w:p>
      <w:pPr>
        <w:pStyle w:val="912"/>
        <w:ind w:firstLine="720"/>
        <w:jc w:val="both"/>
      </w:pPr>
      <w:r>
        <w:t xml:space="preserve">2. Настоящее постановление вступает в силу со дня официального </w:t>
      </w:r>
      <w: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szCs w:val="24"/>
        </w:rPr>
        <w:t xml:space="preserve">и распространяет свое действие на правоотношения, возникшие с 30 января 2</w:t>
      </w:r>
      <w:r>
        <w:rPr>
          <w:szCs w:val="24"/>
        </w:rPr>
        <w:t xml:space="preserve">024 г</w:t>
      </w:r>
      <w: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5. Контроль за исполнением настоящего постанов</w:t>
      </w:r>
      <w:r>
        <w:rPr>
          <w:sz w:val="28"/>
          <w:szCs w:val="28"/>
        </w:rPr>
        <w:t xml:space="preserve">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5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rPr>
      <w:lang w:eastAsia="ru-RU"/>
    </w:rPr>
  </w:style>
  <w:style w:type="paragraph" w:styleId="691">
    <w:name w:val="Heading 1"/>
    <w:basedOn w:val="690"/>
    <w:next w:val="690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</w:style>
  <w:style w:type="paragraph" w:styleId="887">
    <w:name w:val="Body Text"/>
    <w:basedOn w:val="690"/>
    <w:link w:val="911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690"/>
    <w:pPr>
      <w:ind w:right="-1"/>
      <w:jc w:val="both"/>
    </w:pPr>
    <w:rPr>
      <w:sz w:val="26"/>
    </w:rPr>
  </w:style>
  <w:style w:type="character" w:styleId="889">
    <w:name w:val="page number"/>
    <w:basedOn w:val="700"/>
  </w:style>
  <w:style w:type="paragraph" w:styleId="890">
    <w:name w:val="Balloon Text"/>
    <w:basedOn w:val="690"/>
    <w:link w:val="891"/>
    <w:uiPriority w:val="99"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numbering" w:styleId="893" w:customStyle="1">
    <w:name w:val="Нет списка1"/>
    <w:next w:val="702"/>
    <w:uiPriority w:val="99"/>
    <w:semiHidden/>
    <w:unhideWhenUsed/>
  </w:style>
  <w:style w:type="character" w:styleId="894">
    <w:name w:val="FollowedHyperlink"/>
    <w:uiPriority w:val="99"/>
    <w:unhideWhenUsed/>
    <w:rPr>
      <w:color w:val="800080"/>
      <w:u w:val="single"/>
    </w:rPr>
  </w:style>
  <w:style w:type="paragraph" w:styleId="895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Форма"/>
    <w:rPr>
      <w:sz w:val="28"/>
      <w:szCs w:val="28"/>
      <w:lang w:eastAsia="ru-RU"/>
    </w:rPr>
  </w:style>
  <w:style w:type="character" w:styleId="911" w:customStyle="1">
    <w:name w:val="Основной текст Знак"/>
    <w:link w:val="887"/>
    <w:rPr>
      <w:rFonts w:ascii="Courier New" w:hAnsi="Courier New"/>
      <w:sz w:val="26"/>
    </w:rPr>
  </w:style>
  <w:style w:type="paragraph" w:styleId="912" w:customStyle="1">
    <w:name w:val="ConsPlusNormal"/>
    <w:rPr>
      <w:sz w:val="28"/>
      <w:szCs w:val="28"/>
      <w:lang w:eastAsia="ru-RU"/>
    </w:rPr>
  </w:style>
  <w:style w:type="numbering" w:styleId="913" w:customStyle="1">
    <w:name w:val="Нет списка11"/>
    <w:next w:val="702"/>
    <w:uiPriority w:val="99"/>
    <w:semiHidden/>
    <w:unhideWhenUsed/>
  </w:style>
  <w:style w:type="numbering" w:styleId="914" w:customStyle="1">
    <w:name w:val="Нет списка111"/>
    <w:next w:val="702"/>
    <w:uiPriority w:val="99"/>
    <w:semiHidden/>
    <w:unhideWhenUsed/>
  </w:style>
  <w:style w:type="paragraph" w:styleId="915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702"/>
    <w:uiPriority w:val="99"/>
    <w:semiHidden/>
    <w:unhideWhenUsed/>
  </w:style>
  <w:style w:type="numbering" w:styleId="963" w:customStyle="1">
    <w:name w:val="Нет списка3"/>
    <w:next w:val="702"/>
    <w:uiPriority w:val="99"/>
    <w:semiHidden/>
    <w:unhideWhenUsed/>
  </w:style>
  <w:style w:type="paragraph" w:styleId="964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702"/>
    <w:uiPriority w:val="99"/>
    <w:semiHidden/>
    <w:unhideWhenUsed/>
  </w:style>
  <w:style w:type="character" w:styleId="968" w:customStyle="1">
    <w:name w:val="Нижний колонтитул Знак"/>
    <w:link w:val="739"/>
    <w:uiPriority w:val="99"/>
  </w:style>
  <w:style w:type="table" w:styleId="969" w:customStyle="1">
    <w:name w:val="Сетка таблицы1"/>
    <w:basedOn w:val="701"/>
    <w:next w:val="743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0" w:customStyle="1">
    <w:name w:val="Сетка таблицы2"/>
    <w:basedOn w:val="701"/>
    <w:next w:val="743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D88A-D56E-4257-81F1-74613A7D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2024-01-19T08:53:00Z</dcterms:created>
  <dcterms:modified xsi:type="dcterms:W3CDTF">2024-12-18T12:41:27Z</dcterms:modified>
  <cp:version>983040</cp:version>
</cp:coreProperties>
</file>