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0" t="0" r="0" b="0"/>
                                        <wp:docPr id="3" name="Рисунок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670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0" t="0" r="0" b="0"/>
                                  <wp:docPr id="3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расчета предельно допустимой 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рекреационной емкости особо 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охраняемых природных территорий 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местного значения города Перми 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при осуществлении туризма</w:t>
      </w:r>
      <w:r>
        <w:rPr>
          <w:rFonts w:ascii="Times New Roman" w:hAnsi="Times New Roman" w:cs="Times New Roman"/>
          <w:b/>
          <w:sz w:val="24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соответствии с пунктом 5 статьи 5.2 Федерального закона от 14 марта </w:t>
      </w:r>
      <w:r>
        <w:rPr>
          <w:rFonts w:ascii="Times New Roman" w:hAnsi="Times New Roman" w:eastAsia="Times New Roman" w:cs="Times New Roman"/>
          <w:sz w:val="28"/>
        </w:rPr>
        <w:br/>
        <w:t xml:space="preserve">1995 г. № 33-ФЗ «Об ос</w:t>
      </w:r>
      <w:r>
        <w:rPr>
          <w:rFonts w:ascii="Times New Roman" w:hAnsi="Times New Roman" w:eastAsia="Times New Roman" w:cs="Times New Roman"/>
          <w:sz w:val="28"/>
        </w:rPr>
        <w:t xml:space="preserve">обо охраняемых природных территориях», постановлением Правительства Российской Федерации от 31 октября 2023 г. № 1809 «Об утверждении Типовых правил расчета предельно допустимой рекреационной емкости особо охраняемых природных территорий регионального и ме</w:t>
      </w:r>
      <w:r>
        <w:rPr>
          <w:rFonts w:ascii="Times New Roman" w:hAnsi="Times New Roman" w:eastAsia="Times New Roman" w:cs="Times New Roman"/>
          <w:sz w:val="28"/>
        </w:rPr>
        <w:t xml:space="preserve">стного значения при осуществлении туризма», решением Пермской городской Думы от 28 февраля 2023 г. № 32 «Об утверждении Порядка создания, изменения границ, реорганизации особо охраняемых природных территорий местного значения города Перми и управления ими»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 Утвердить прилагаемый Порядок расчета предельно допустимой рекреационной емкости особо охраняемых природных территорий местного значения города Перми при осуществлении туризма.</w:t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3. Управлению по общим вопр</w:t>
      </w:r>
      <w:r>
        <w:rPr>
          <w:rFonts w:ascii="Times New Roman" w:hAnsi="Times New Roman" w:eastAsia="Times New Roman" w:cs="Times New Roman"/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</w:rPr>
        <w:br/>
        <w:t xml:space="preserve">на первого заместителя главы администрации города Перми Андрианову О.Н.</w:t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Глава города Перми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  <w:t xml:space="preserve">       Э.О. Соснин</w:t>
      </w:r>
      <w:r>
        <w:rPr>
          <w:rFonts w:ascii="Times New Roman" w:hAnsi="Times New Roman" w:cs="Times New Roman"/>
          <w:sz w:val="28"/>
        </w:rPr>
      </w:r>
    </w:p>
    <w:p>
      <w:pPr>
        <w:ind w:left="5670"/>
        <w:jc w:val="both"/>
        <w:spacing w:line="240" w:lineRule="exact"/>
        <w:rPr>
          <w:rFonts w:ascii="Tempora LGC Uni" w:hAnsi="Tempora LGC Uni" w:cs="Tempora LGC Uni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empora LGC Uni" w:hAnsi="Tempora LGC Uni" w:cs="Tempora LGC Uni"/>
          <w:sz w:val="28"/>
          <w:szCs w:val="28"/>
        </w:rPr>
      </w:r>
      <w:r>
        <w:rPr>
          <w:rFonts w:ascii="Tempora LGC Uni" w:hAnsi="Tempora LGC Uni" w:cs="Tempora LGC Uni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18.12.2024 № 1260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ПОРЯДОК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расчета предельно допустимой рекреационной емкости </w:t>
      </w:r>
      <w:r>
        <w:rPr>
          <w:rFonts w:ascii="Times New Roman" w:hAnsi="Times New Roman" w:eastAsia="Times New Roman" w:cs="Times New Roman"/>
          <w:b/>
          <w:sz w:val="28"/>
        </w:rPr>
        <w:br/>
        <w:t xml:space="preserve">особо охраняемых природных территорий местного значения города Перми при осуществлении туризма</w:t>
      </w:r>
      <w:r>
        <w:rPr>
          <w:rFonts w:ascii="Times New Roman" w:hAnsi="Times New Roman" w:cs="Times New Roman"/>
          <w:b/>
          <w:sz w:val="28"/>
        </w:rPr>
      </w:r>
    </w:p>
    <w:p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 Настоящий Порядок </w:t>
      </w:r>
      <w:r>
        <w:rPr>
          <w:rFonts w:ascii="Times New Roman" w:hAnsi="Times New Roman" w:eastAsia="Times New Roman" w:cs="Times New Roman"/>
          <w:sz w:val="28"/>
        </w:rPr>
        <w:t xml:space="preserve">расчета предельно допустимой рекреационной емкости особо охраняемых природных территорий местного значения города Перми при осуществлении туризма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устанавливает правила расчета предельно допустимой рекреационной емкости особо охраняемых природных территорий местного значения города Перми (далее – Порядок, ООПТ) в рамках организации на их территориях туризма.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Понятия, используемые в настоящем Порядке, применяются в значениях, определенных пост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ановлением Правительства Российской Федерации от 31 октября 2023 г.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 Предельно допустимая рекреационная емкость определяется для ООПТ либо ее отдельных частей (туристских объектов) и рассчитывается в соответствии с настоящим Порядком.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4. Расчет предельно допустимой рекреационной емкости ООПТ, ее отдельной части осуществляется при выявлении изменения состояния туристских объектов, но не реже одного раза в 5 лет.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5. Предельно допустимая рекреационная емкость рассчитывается для ООПТ в целом, а также для ее отдельных частей (туристских объектов) и выражается в целочисленных значениях, человек в единицу времени.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6. Предельно допустимая рекреационная емкость ООПТ (</w:t>
      </w:r>
      <m:oMath>
        <m:sSub>
          <m:sSubPr>
            <m:ctrlPr>
              <w:rPr>
                <w:rFonts w:hint="default" w:ascii="Cambria Math" w:hAnsi="Cambria Math" w:eastAsia="Cambria Math" w:cs="Cambria Math" w:eastAsiaTheme="minorEastAsia"/>
                <w:sz w:val="32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sz w:val="32"/>
                <w:lang w:val="en-US"/>
              </w:rPr>
              <m:rPr>
                <m:nor m:val="on"/>
              </m:rPr>
              <m:t>RCC</m:t>
            </m:r>
          </m:e>
          <m:sub>
            <m:r>
              <w:rPr>
                <w:rFonts w:ascii="Times New Roman" w:hAnsi="Times New Roman" w:eastAsia="Times New Roman" w:cs="Times New Roman"/>
                <w:sz w:val="28"/>
              </w:rPr>
              <m:rPr>
                <m:nor m:val="on"/>
              </m:rPr>
              <m:t>ООПТ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рассчитывается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 w:eastAsiaTheme="minorEastAsia"/>
                <w:sz w:val="32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sz w:val="32"/>
                <w:lang w:val="en-US"/>
              </w:rPr>
              <m:rPr>
                <m:nor m:val="on"/>
              </m:rPr>
              <m:t>RCC</m:t>
            </m:r>
          </m:e>
          <m:sub>
            <m:r>
              <w:rPr>
                <w:rFonts w:ascii="Times New Roman" w:hAnsi="Times New Roman" w:eastAsia="Times New Roman" w:cs="Times New Roman"/>
                <w:sz w:val="28"/>
              </w:rPr>
              <m:rPr>
                <m:nor m:val="on"/>
              </m:rPr>
              <m:t>ООПТ</m:t>
            </m:r>
          </m:sub>
        </m:sSub>
        <m:r>
          <w:rPr>
            <w:rFonts w:ascii="Times New Roman" w:hAnsi="Times New Roman" w:eastAsia="Times New Roman" w:cs="Times New Roman"/>
            <w:sz w:val="32"/>
          </w:rPr>
          <m:rPr>
            <m:nor m:val="on"/>
          </m:rPr>
          <m:t> = </m:t>
        </m:r>
        <m:nary>
          <m:naryPr>
            <m:chr m:val="∑"/>
            <m:grow m:val="off"/>
            <m:limLoc m:val="subSup"/>
            <m:ctrlPr>
              <w:rPr>
                <w:rFonts w:hint="default" w:ascii="Cambria Math" w:hAnsi="Cambria Math" w:eastAsia="Cambria Math" w:cs="Cambria Math" w:eastAsiaTheme="minorEastAsia"/>
                <w:sz w:val="32"/>
                <w:lang w:val="en-US"/>
              </w:rPr>
            </m:ctrlPr>
          </m:naryPr>
          <m:sub>
            <m:r>
              <w:rPr>
                <w:rFonts w:ascii="Times New Roman" w:hAnsi="Times New Roman" w:eastAsia="Times New Roman" w:cs="Times New Roman"/>
                <w:sz w:val="28"/>
              </w:rPr>
              <m:rPr>
                <m:nor m:val="on"/>
              </m:rPr>
              <m:t>1</m:t>
            </m:r>
          </m:sub>
          <m:sup>
            <m:r>
              <w:rPr>
                <w:rFonts w:ascii="Times New Roman" w:hAnsi="Times New Roman" w:eastAsia="Times New Roman" w:cs="Times New Roman"/>
                <w:sz w:val="28"/>
                <w:lang w:val="en-US"/>
              </w:rPr>
              <m:rPr>
                <m:nor m:val="on"/>
              </m:rPr>
              <m:t>m</m:t>
            </m:r>
          </m:sup>
          <m:e>
            <m:sSub>
              <m:sSubPr>
                <m:ctrlPr>
                  <w:rPr>
                    <w:rFonts w:hint="default" w:ascii="Cambria Math" w:hAnsi="Cambria Math" w:eastAsia="Cambria Math" w:cs="Cambria Math" w:eastAsiaTheme="minorEastAsia"/>
                    <w:sz w:val="32"/>
                    <w:lang w:val="en-US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sz w:val="32"/>
                    <w:lang w:val="en-US"/>
                  </w:rPr>
                  <m:rPr>
                    <m:nor m:val="on"/>
                  </m:rPr>
                  <m:t>RCC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sz w:val="28"/>
                    <w:lang w:val="en-US"/>
                  </w:rPr>
                  <m:rPr>
                    <m:nor m:val="on"/>
                  </m:rPr>
                  <m:t>qm</m:t>
                </m:r>
              </m:sub>
            </m:sSub>
            <m:r>
              <w:rPr>
                <w:rFonts w:ascii="Times New Roman" w:hAnsi="Times New Roman" w:eastAsia="Times New Roman" w:cs="Times New Roman" w:eastAsiaTheme="minorEastAsia"/>
                <w:sz w:val="32"/>
              </w:rPr>
              <m:rPr>
                <m:nor m:val="on"/>
              </m:rPr>
              <m:t>,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 w:eastAsiaTheme="minorEastAsia"/>
                <w:sz w:val="32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sz w:val="32"/>
                <w:lang w:val="en-US"/>
              </w:rPr>
              <m:rPr>
                <m:nor m:val="on"/>
              </m:rPr>
              <m:t>RCC</m:t>
            </m:r>
          </m:e>
          <m:sub>
            <m:r>
              <w:rPr>
                <w:rFonts w:ascii="Times New Roman" w:hAnsi="Times New Roman" w:eastAsia="Times New Roman" w:cs="Times New Roman"/>
                <w:sz w:val="28"/>
                <w:lang w:val="en-US"/>
              </w:rPr>
              <m:rPr>
                <m:nor m:val="on"/>
              </m:rPr>
              <m:t>qm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предельно допустимая рекреационная емкость туристского объекта m, человек в единицу времени;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m – порядковый номер туристского объекта в границах ООПТ (1, 2, ... m).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7. Предельно допустимая рекреационная емкость туристского объекта (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RCC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рассчитывается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RCC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= </m:t>
        </m:r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PCC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 × </m:t>
        </m:r>
        <m:r>
          <w:rPr>
            <w:rFonts w:ascii="Times New Roman" w:hAnsi="Times New Roman" w:eastAsia="Times New Roman" w:cs="Times New Roman"/>
            <w:bCs/>
            <w:sz w:val="32"/>
            <w:szCs w:val="28"/>
            <w:lang w:val="en-US"/>
          </w:rPr>
          <m:rPr>
            <m:nor m:val="on"/>
          </m:rPr>
          <m:t>MC</m:t>
        </m:r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,</m:t>
        </m:r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PCC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потенциальная рекреационная емкость туристского объекта, человек в единицу времени;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position w:val="-5"/>
          <w:sz w:val="32"/>
          <w:szCs w:val="28"/>
          <w:lang w:val="en-US"/>
        </w:rPr>
        <w:t xml:space="preserve">MC</w:t>
      </w:r>
      <w:r>
        <w:rPr>
          <w:rFonts w:ascii="Times New Roman" w:hAnsi="Times New Roman" w:eastAsia="Times New Roman" w:cs="Times New Roman"/>
          <w:bCs/>
          <w:sz w:val="32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– коэффициент управленческой емкости, долей от единицы.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8. Потенциальная рекреационная емкость рассчитывается для ООПТ в целом, а также для ее отдельных частей (туристских объектов) и выражается в целочисленных значениях, человек в единицу времени.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9. Потенциальная рекреационная емкость туристского объекта (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PCC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рассчитывается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PCC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 =</m:t>
        </m:r>
        <m:r>
          <w:rPr>
            <w:rFonts w:hint="default" w:ascii="Cambria Math" w:hAnsi="Cambria Math" w:eastAsia="Cambria Math" w:cs="Cambria Math"/>
            <w:sz w:val="32"/>
            <w:szCs w:val="28"/>
          </w:rPr>
          <m:rPr/>
          <m:t> </m:t>
        </m:r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 ×</m:t>
        </m:r>
        <m:r>
          <w:rPr>
            <w:rFonts w:hint="default" w:ascii="Cambria Math" w:hAnsi="Cambria Math" w:eastAsia="Cambria Math" w:cs="Cambria Math"/>
            <w:sz w:val="32"/>
            <w:szCs w:val="28"/>
          </w:rPr>
          <m:rPr/>
          <m:t> </m:t>
        </m:r>
        <m:sSubSup>
          <m:sSubSupPr>
            <m:alnScr m:val="off"/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Sup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</w:rPr>
              <m:rPr>
                <m:nor m:val="on"/>
              </m:rPr>
              <m:t>П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m:rPr>
                <m:nor m:val="on"/>
              </m:rPr>
              <m:t>1</m:t>
            </m:r>
          </m:sub>
          <m:sup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n</m:t>
            </m:r>
          </m:sup>
        </m:sSubSup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Cf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n</m:t>
            </m:r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,</m:t>
        </m:r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базовая рекреационная емкость туристского объекта, выраженная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в целочисленном значении, человек в единицу времени;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Cf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n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n – количество поправочных коэффициентов.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10. Базовая рекреационная емкость туристских объектов (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в единицу времени.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11. Базовая рекреационная емкость для площадных туристских объектов (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qs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рассчитывается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qs</m:t>
            </m:r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  <w:lang w:val="en-US"/>
          </w:rPr>
          <m:rPr>
            <m:nor m:val="on"/>
          </m:rPr>
          <m:t> =</m:t>
        </m:r>
        <m:r>
          <w:rPr>
            <w:rFonts w:hint="default" w:ascii="Cambria Math" w:hAnsi="Cambria Math" w:eastAsia="Cambria Math" w:cs="Cambria Math"/>
            <w:sz w:val="32"/>
            <w:szCs w:val="28"/>
            <w:lang w:val="en-US"/>
          </w:rPr>
          <m:rPr/>
          <m:t> </m:t>
        </m:r>
        <m:f>
          <m:f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A</m:t>
            </m:r>
          </m:num>
          <m:den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Au</m:t>
            </m:r>
          </m:den>
        </m:f>
        <m:r>
          <w:rPr>
            <w:rFonts w:ascii="Times New Roman" w:hAnsi="Times New Roman" w:eastAsia="Times New Roman" w:cs="Times New Roman"/>
            <w:bCs/>
            <w:sz w:val="32"/>
            <w:szCs w:val="28"/>
            <w:lang w:val="en-US"/>
          </w:rPr>
          <m:rPr>
            <m:nor m:val="on"/>
          </m:rPr>
          <m:t> × </m:t>
        </m:r>
        <m:r>
          <w:rPr>
            <w:rFonts w:ascii="Times New Roman" w:hAnsi="Times New Roman" w:eastAsia="Times New Roman" w:cs="Times New Roman"/>
            <w:bCs/>
            <w:sz w:val="32"/>
            <w:szCs w:val="28"/>
            <w:lang w:val="en-US"/>
          </w:rPr>
          <m:rPr>
            <m:nor m:val="on"/>
          </m:rPr>
          <m:t>Rf</m:t>
        </m:r>
        <m:r>
          <w:rPr>
            <w:rFonts w:ascii="Times New Roman" w:hAnsi="Times New Roman" w:eastAsia="Times New Roman" w:cs="Times New Roman"/>
            <w:bCs/>
            <w:sz w:val="32"/>
            <w:szCs w:val="28"/>
            <w:lang w:val="en-US"/>
          </w:rPr>
          <m:rPr>
            <m:nor m:val="on"/>
          </m:rPr>
          <m:t> × t,</m:t>
        </m:r>
      </m:oMath>
      <w:r>
        <w:rPr>
          <w:rFonts w:ascii="Times New Roman" w:hAnsi="Times New Roman" w:eastAsia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A – площадь туристского объекта, на которой осуществляется туризм,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кв. 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Au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площадь туристского объекта, необходимая для одного посетителя при осуществлении туризма (кв. м), определяемая в соответствии с порядком, указанным в пункте 18 настоящего Порядка;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Rf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коэффициент возвращения, отражающий возможное количество посещений туристского объекта одним и тем же туристом в день;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t – количество дней в рассматриваемую единицу времени (месяц, сезон, год и др.), единиц.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12. Коэффициент возвращения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Rf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рассчитывается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eastAsia="Times New Roman" w:cs="Times New Roman"/>
        </w:rPr>
      </w:r>
      <m:oMath>
        <m:r>
          <w:rPr>
            <w:rFonts w:ascii="Times New Roman" w:hAnsi="Times New Roman" w:eastAsia="Times New Roman" w:cs="Times New Roman"/>
            <w:bCs/>
            <w:sz w:val="32"/>
            <w:szCs w:val="28"/>
            <w:lang w:val="en-US"/>
          </w:rPr>
          <m:rPr>
            <m:nor m:val="on"/>
          </m:rPr>
          <m:t>Rf</m:t>
        </m:r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 =</m:t>
        </m:r>
        <m:r>
          <w:rPr>
            <w:rFonts w:hint="default" w:ascii="Cambria Math" w:hAnsi="Cambria Math" w:eastAsia="Cambria Math" w:cs="Cambria Math"/>
            <w:sz w:val="32"/>
            <w:szCs w:val="28"/>
          </w:rPr>
          <m:rPr/>
          <m:t> </m:t>
        </m:r>
        <m:f>
          <m:fPr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T</m:t>
            </m:r>
          </m:num>
          <m:den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Td</m:t>
            </m:r>
          </m:den>
        </m:f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,</m:t>
        </m:r>
      </m:oMath>
      <w:r>
        <w:rPr>
          <w:rFonts w:ascii="Times New Roman" w:hAnsi="Times New Roman" w:eastAsia="Times New Roman" w:cs="Times New Roman"/>
          <w:sz w:val="32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T – количество часов в сутки, когда туристский объект доступен для посещения,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час.;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Td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среднее время пребывания посетителя на туристском объекте, час.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13. Базовая рекреационная емкость для однодневных туристских маршрутов с небольшой протяженностью или несколькими входами без ограничения времени посещения туристского маршрута (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  <m:sSub>
              <m:sSubPr>
                <m:ctrlPr>
                  <w:rPr>
                    <w:rFonts w:hint="default" w:ascii="Cambria Math" w:hAnsi="Cambria Math" w:eastAsia="Cambria Math" w:cs="Cambria Math"/>
                    <w:b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  <w:lang w:val="en-US"/>
                  </w:rPr>
                  <m:rPr>
                    <m:nor m:val="on"/>
                  </m:rPr>
                  <m:t>p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</w:rPr>
                  <m:rPr>
                    <m:nor m:val="on"/>
                  </m:rPr>
                  <m:t>1</m:t>
                </m:r>
              </m:sub>
            </m:sSub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рассчитывается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  <m:sSub>
              <m:sSubPr>
                <m:ctrlPr>
                  <w:rPr>
                    <w:rFonts w:hint="default" w:ascii="Cambria Math" w:hAnsi="Cambria Math" w:eastAsia="Cambria Math" w:cs="Cambria Math"/>
                    <w:b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  <w:lang w:val="en-US"/>
                  </w:rPr>
                  <m:rPr>
                    <m:nor m:val="on"/>
                  </m:rPr>
                  <m:t>p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</w:rPr>
                  <m:rPr>
                    <m:nor m:val="on"/>
                  </m:rPr>
                  <m:t>1</m:t>
                </m:r>
              </m:sub>
            </m:sSub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= </m:t>
        </m:r>
        <m:nary>
          <m:naryPr>
            <m:chr m:val="∑"/>
            <m:grow m:val="off"/>
            <m:limLoc m:val="subSup"/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naryPr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m:rPr>
                <m:nor m:val="on"/>
              </m:rPr>
              <m:t>1</m:t>
            </m:r>
          </m:sub>
          <m:sup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p</m:t>
            </m:r>
          </m:sup>
          <m:e>
            <m:d>
              <m:dPr>
                <m:ctrlPr>
                  <w:rPr>
                    <w:rFonts w:hint="default" w:ascii="Cambria Math" w:hAnsi="Cambria Math" w:eastAsia="Cambria Math" w:cs="Cambria Math"/>
                    <w:bCs/>
                    <w:sz w:val="32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Cambria Math" w:cs="Cambria Math"/>
                        <w:bCs/>
                        <w:sz w:val="32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int="default" w:ascii="Cambria Math" w:hAnsi="Cambria Math" w:eastAsia="Cambria Math" w:cs="Cambria Math"/>
                            <w:bCs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32"/>
                            <w:szCs w:val="28"/>
                            <w:lang w:val="en-US"/>
                          </w:rPr>
                          <m:rPr>
                            <m:nor m:val="on"/>
                          </m:rPr>
                          <m:t>DT</m:t>
                        </m:r>
                      </m:e>
                      <m:sub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  <m:rPr>
                            <m:nor m:val="on"/>
                          </m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hint="default" w:ascii="Cambria Math" w:hAnsi="Cambria Math" w:eastAsia="Cambria Math" w:cs="Cambria Math"/>
                            <w:bCs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32"/>
                            <w:szCs w:val="28"/>
                            <w:lang w:val="en-US"/>
                          </w:rPr>
                          <m:rPr>
                            <m:nor m:val="on"/>
                          </m:rPr>
                          <m:t>DG</m:t>
                        </m:r>
                      </m:e>
                      <m:sub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  <m:rPr>
                            <m:nor m:val="on"/>
                          </m:rPr>
                          <m:t>p</m:t>
                        </m:r>
                      </m:sub>
                    </m:sSub>
                  </m:den>
                </m:f>
                <m:r>
                  <w:rPr>
                    <w:rFonts w:ascii="Times New Roman" w:hAnsi="Times New Roman" w:eastAsia="Times New Roman" w:cs="Times New Roman"/>
                    <w:bCs/>
                    <w:sz w:val="32"/>
                    <w:szCs w:val="28"/>
                  </w:rPr>
                  <m:rPr>
                    <m:nor m:val="on"/>
                  </m:rPr>
                  <m:t> × </m:t>
                </m:r>
                <m:f>
                  <m:fPr>
                    <m:ctrlPr>
                      <w:rPr>
                        <w:rFonts w:hint="default" w:ascii="Cambria Math" w:hAnsi="Cambria Math" w:eastAsia="Cambria Math" w:cs="Cambria Math"/>
                        <w:bCs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hAnsi="Times New Roman" w:eastAsia="Times New Roman" w:cs="Times New Roman"/>
                        <w:bCs/>
                        <w:sz w:val="32"/>
                        <w:szCs w:val="28"/>
                        <w:lang w:val="en-US"/>
                      </w:rPr>
                      <m:rPr>
                        <m:nor m:val="on"/>
                      </m:rPr>
                      <m:t>Ts</m:t>
                    </m:r>
                  </m:num>
                  <m:den>
                    <m:sSub>
                      <m:sSubPr>
                        <m:ctrlPr>
                          <w:rPr>
                            <w:rFonts w:hint="default" w:ascii="Cambria Math" w:hAnsi="Cambria Math" w:eastAsia="Cambria Math" w:cs="Cambria Math"/>
                            <w:bCs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32"/>
                            <w:szCs w:val="28"/>
                            <w:lang w:val="en-US"/>
                          </w:rPr>
                          <m:rPr>
                            <m:nor m:val="on"/>
                          </m:rPr>
                          <m:t>Td</m:t>
                        </m:r>
                      </m:e>
                      <m:sub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  <m:rPr>
                            <m:nor m:val="on"/>
                          </m:rPr>
                          <m:t>p</m:t>
                        </m:r>
                      </m:sub>
                    </m:sSub>
                  </m:den>
                </m:f>
              </m:e>
            </m:d>
          </m:e>
        </m:nary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 × </m:t>
        </m:r>
        <m:r>
          <w:rPr>
            <w:rFonts w:ascii="Times New Roman" w:hAnsi="Times New Roman" w:eastAsia="Times New Roman" w:cs="Times New Roman"/>
            <w:bCs/>
            <w:sz w:val="32"/>
            <w:szCs w:val="28"/>
            <w:lang w:val="en-US"/>
          </w:rPr>
          <m:rPr>
            <m:nor m:val="on"/>
          </m:rPr>
          <m:t>GS</m:t>
        </m:r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 × </m:t>
        </m:r>
        <m:f>
          <m:fPr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fPr>
          <m:num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t</m:t>
            </m:r>
          </m:num>
          <m:den>
            <m:sSub>
              <m:sSubPr>
                <m:ctrlPr>
                  <w:rPr>
                    <w:rFonts w:hint="default" w:ascii="Cambria Math" w:hAnsi="Cambria Math" w:eastAsia="Cambria Math" w:cs="Cambria Math"/>
                    <w:bCs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bCs/>
                    <w:sz w:val="32"/>
                    <w:szCs w:val="28"/>
                    <w:lang w:val="en-US"/>
                  </w:rPr>
                  <m:rPr>
                    <m:nor m:val="on"/>
                  </m:rPr>
                  <m:t>t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  <w:lang w:val="en-US"/>
                  </w:rPr>
                  <m:rPr>
                    <m:nor m:val="on"/>
                  </m:rPr>
                  <m:t>p</m:t>
                </m:r>
              </m:sub>
            </m:sSub>
          </m:den>
        </m:f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,</m:t>
        </m:r>
      </m:oMath>
      <w:r>
        <w:rPr>
          <w:rFonts w:ascii="Times New Roman" w:hAnsi="Times New Roman" w:eastAsia="Times New Roman" w:cs="Times New Roman"/>
          <w:sz w:val="32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DT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</w:rPr>
        <w:t xml:space="preserve">p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длина однодневного туристского маршрута, км;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DG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</w:rPr>
        <w:t xml:space="preserve">p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оптимальное расстояние между группами на участке p туристского маршрута, км;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Ts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длина светового дня или количество времени, когда туристский маршрут доступен для посетителей,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час.;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Td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</w:rPr>
        <w:t xml:space="preserve">p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среднее время прохождения участка туристского маршрута p с учетом остановок,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час.;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GS – среднее количество человек в группе (включая сопровождающих), человек;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p – порядковый номер однодневного участка туристского маршрута (1, 2, ... p);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t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</w:rPr>
        <w:t xml:space="preserve">p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количество дней пребывания посетителей на туристском маршруте, единиц.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14. Базовая рекреационная емкость для однодневных туристских маршрутов, время доступности которых строго фиксировано (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  <m:sSub>
              <m:sSubPr>
                <m:ctrlPr>
                  <w:rPr>
                    <w:rFonts w:hint="default" w:ascii="Cambria Math" w:hAnsi="Cambria Math" w:eastAsia="Cambria Math" w:cs="Cambria Math"/>
                    <w:b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  <w:lang w:val="en-US"/>
                  </w:rPr>
                  <m:rPr>
                    <m:nor m:val="on"/>
                  </m:rPr>
                  <m:t>p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</w:rPr>
                  <m:rPr>
                    <m:nor m:val="on"/>
                  </m:rPr>
                  <m:t>2</m:t>
                </m:r>
              </m:sub>
            </m:sSub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(например, в случае закрытия для посетителей входа и выхода с туристского маршрута или в целом с участка ООПТ в четко установленные часы), рассчитывается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BCC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q</m:t>
            </m:r>
            <m:sSub>
              <m:sSubPr>
                <m:ctrlPr>
                  <w:rPr>
                    <w:rFonts w:hint="default" w:ascii="Cambria Math" w:hAnsi="Cambria Math" w:eastAsia="Cambria Math" w:cs="Cambria Math"/>
                    <w:b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  <w:lang w:val="en-US"/>
                  </w:rPr>
                  <m:rPr>
                    <m:nor m:val="on"/>
                  </m:rPr>
                  <m:t>p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</w:rPr>
                  <m:rPr>
                    <m:nor m:val="on"/>
                  </m:rPr>
                  <m:t>2</m:t>
                </m:r>
              </m:sub>
            </m:sSub>
          </m:sub>
        </m:sSub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= </m:t>
        </m:r>
        <m:nary>
          <m:naryPr>
            <m:chr m:val="∑"/>
            <m:grow m:val="off"/>
            <m:limLoc m:val="subSup"/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naryPr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m:rPr>
                <m:nor m:val="on"/>
              </m:rPr>
              <m:t>1</m:t>
            </m:r>
          </m:sub>
          <m:sup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p</m:t>
            </m:r>
          </m:sup>
          <m:e>
            <m:d>
              <m:dPr>
                <m:ctrlPr>
                  <w:rPr>
                    <w:rFonts w:hint="default" w:ascii="Cambria Math" w:hAnsi="Cambria Math" w:eastAsia="Cambria Math" w:cs="Cambria Math"/>
                    <w:bCs/>
                    <w:sz w:val="32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hint="default" w:ascii="Cambria Math" w:hAnsi="Cambria Math" w:eastAsia="Cambria Math" w:cs="Cambria Math"/>
                        <w:bCs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eastAsia="Times New Roman" w:cs="Times New Roman"/>
                        <w:bCs/>
                        <w:sz w:val="32"/>
                        <w:szCs w:val="28"/>
                        <w:lang w:val="en-US"/>
                      </w:rPr>
                      <m:rPr>
                        <m:nor m:val="on"/>
                      </m:rPr>
                      <m:t>g</m:t>
                    </m:r>
                  </m:e>
                  <m:sub>
                    <m:r>
                      <w:rPr>
                        <w:rFonts w:ascii="Times New Roman" w:hAnsi="Times New Roman" w:eastAsia="Times New Roman" w:cs="Times New Roman"/>
                        <w:bCs/>
                        <w:sz w:val="32"/>
                        <w:szCs w:val="28"/>
                        <w:lang w:val="en-US"/>
                      </w:rPr>
                      <m:rPr>
                        <m:nor m:val="on"/>
                      </m:rPr>
                      <m:t>p</m:t>
                    </m:r>
                  </m:sub>
                </m:sSub>
                <m:r>
                  <w:rPr>
                    <w:rFonts w:ascii="Times New Roman" w:hAnsi="Times New Roman" w:eastAsia="Times New Roman" w:cs="Times New Roman"/>
                    <w:bCs/>
                    <w:sz w:val="32"/>
                    <w:szCs w:val="28"/>
                  </w:rPr>
                  <m:rPr>
                    <m:nor m:val="on"/>
                  </m:rPr>
                  <m:t> × </m:t>
                </m:r>
                <m:r>
                  <w:rPr>
                    <w:rFonts w:ascii="Times New Roman" w:hAnsi="Times New Roman" w:eastAsia="Times New Roman" w:cs="Times New Roman"/>
                    <w:bCs/>
                    <w:sz w:val="32"/>
                    <w:szCs w:val="28"/>
                    <w:lang w:val="en-US"/>
                  </w:rPr>
                  <m:rPr>
                    <m:nor m:val="on"/>
                  </m:rPr>
                  <m:t>GS</m:t>
                </m:r>
              </m:e>
            </m:d>
          </m:e>
        </m:nary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× </m:t>
        </m:r>
        <m:f>
          <m:fPr>
            <m:ctrlPr>
              <w:rPr>
                <w:rFonts w:hint="default" w:ascii="Cambria Math" w:hAnsi="Cambria Math" w:eastAsia="Cambria Math" w:cs="Cambria Math"/>
                <w:bCs/>
                <w:sz w:val="32"/>
                <w:szCs w:val="28"/>
                <w:lang w:val="en-US"/>
              </w:rPr>
            </m:ctrlPr>
          </m:fPr>
          <m:num>
            <m:r>
              <w:rPr>
                <w:rFonts w:ascii="Times New Roman" w:hAnsi="Times New Roman" w:eastAsia="Times New Roman" w:cs="Times New Roman"/>
                <w:bCs/>
                <w:sz w:val="32"/>
                <w:szCs w:val="28"/>
                <w:lang w:val="en-US"/>
              </w:rPr>
              <m:rPr>
                <m:nor m:val="on"/>
              </m:rPr>
              <m:t>t</m:t>
            </m:r>
          </m:num>
          <m:den>
            <m:sSub>
              <m:sSubPr>
                <m:ctrlPr>
                  <w:rPr>
                    <w:rFonts w:hint="default" w:ascii="Cambria Math" w:hAnsi="Cambria Math" w:eastAsia="Cambria Math" w:cs="Cambria Math"/>
                    <w:bCs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bCs/>
                    <w:sz w:val="32"/>
                    <w:szCs w:val="28"/>
                    <w:lang w:val="en-US"/>
                  </w:rPr>
                  <m:rPr>
                    <m:nor m:val="on"/>
                  </m:rPr>
                  <m:t>t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bCs/>
                    <w:sz w:val="28"/>
                    <w:szCs w:val="28"/>
                    <w:lang w:val="en-US"/>
                  </w:rPr>
                  <m:rPr>
                    <m:nor m:val="on"/>
                  </m:rPr>
                  <m:t>p</m:t>
                </m:r>
              </m:sub>
            </m:sSub>
          </m:den>
        </m:f>
        <m:r>
          <w:rPr>
            <w:rFonts w:ascii="Times New Roman" w:hAnsi="Times New Roman" w:eastAsia="Times New Roman" w:cs="Times New Roman"/>
            <w:bCs/>
            <w:sz w:val="32"/>
            <w:szCs w:val="28"/>
          </w:rPr>
          <m:rPr>
            <m:nor m:val="on"/>
          </m:rPr>
          <m:t>,</m:t>
        </m:r>
      </m:oMath>
      <w:r>
        <w:rPr>
          <w:rFonts w:ascii="Times New Roman" w:hAnsi="Times New Roman" w:eastAsia="Times New Roman" w:cs="Times New Roman"/>
          <w:sz w:val="32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eastAsia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sz w:val="28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g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p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максимальное количество групп, которые могут пройти в сутки по однодневному участку p туристского маршрута до его закрытия или до окончания светового дня, единиц.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15.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 (</w:t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sz w:val="28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g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m:rPr>
                <m:nor m:val="on"/>
              </m:rPr>
              <m:t>p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), выражается целочисленным значением (единиц) и определяется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bCs/>
                <w:sz w:val="32"/>
                <w:szCs w:val="32"/>
                <w:lang w:val="en-US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en-US"/>
              </w:rPr>
              <m:rPr>
                <m:nor m:val="on"/>
              </m:rPr>
              <m:t>g</m:t>
            </m:r>
          </m:e>
          <m:sub>
            <m:r>
              <w:rPr>
                <w:rFonts w:ascii="Times New Roman" w:hAnsi="Times New Roman" w:eastAsia="Times New Roman" w:cs="Times New Roman"/>
                <w:bCs/>
                <w:sz w:val="28"/>
                <w:szCs w:val="32"/>
                <w:lang w:val="en-US"/>
              </w:rPr>
              <m:rPr>
                <m:nor m:val="on"/>
              </m:rPr>
              <m:t>p</m:t>
            </m:r>
          </m:sub>
        </m:sSub>
        <m:r>
          <w:rPr>
            <w:rFonts w:ascii="Times New Roman" w:hAnsi="Times New Roman" w:eastAsia="Times New Roman" w:cs="Times New Roman"/>
            <w:bCs/>
            <w:sz w:val="32"/>
            <w:szCs w:val="32"/>
          </w:rPr>
          <m:rPr>
            <m:nor m:val="on"/>
          </m:rPr>
          <m:t> = 1 +</m:t>
        </m:r>
        <m:r>
          <w:rPr>
            <w:rFonts w:hint="default" w:ascii="Cambria Math" w:hAnsi="Cambria Math" w:eastAsia="Cambria Math" w:cs="Cambria Math"/>
            <w:sz w:val="32"/>
            <w:szCs w:val="32"/>
          </w:rPr>
          <m:rPr/>
          <m:t> </m:t>
        </m:r>
        <m:d>
          <m:dPr>
            <m:begChr m:val="["/>
            <m:endChr m:val="]"/>
            <m:ctrlPr>
              <w:rPr>
                <w:rFonts w:hint="default" w:ascii="Cambria Math" w:hAnsi="Cambria Math" w:eastAsia="Cambria Math" w:cs="Cambria Math"/>
                <w:bCs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hint="default" w:ascii="Cambria Math" w:hAnsi="Cambria Math" w:eastAsia="Cambria Math" w:cs="Cambria Math"/>
                    <w:bCs/>
                    <w:i/>
                    <w:sz w:val="32"/>
                    <w:szCs w:val="3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hint="default" w:ascii="Cambria Math" w:hAnsi="Cambria Math" w:eastAsia="Cambria Math" w:cs="Cambria Math"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eastAsia="Times New Roman" w:cs="Times New Roman"/>
                        <w:bCs/>
                        <w:sz w:val="32"/>
                        <w:szCs w:val="32"/>
                        <w:lang w:val="en-US"/>
                      </w:rPr>
                      <m:rPr>
                        <m:nor m:val="on"/>
                      </m:rPr>
                      <m:t>v</m:t>
                    </m:r>
                  </m:e>
                  <m:sub>
                    <m:r>
                      <w:rPr>
                        <w:rFonts w:ascii="Times New Roman" w:hAnsi="Times New Roman" w:eastAsia="Times New Roman" w:cs="Times New Roman"/>
                        <w:bCs/>
                        <w:sz w:val="28"/>
                        <w:szCs w:val="32"/>
                        <w:lang w:val="en-US"/>
                      </w:rPr>
                      <m:rPr>
                        <m:nor m:val="on"/>
                      </m:rPr>
                      <m:t>p</m:t>
                    </m:r>
                  </m:sub>
                </m:sSub>
                <m:d>
                  <m:dPr>
                    <m:ctrlPr>
                      <w:rPr>
                        <w:rFonts w:hint="default" w:ascii="Cambria Math" w:hAnsi="Cambria Math" w:eastAsia="Cambria Math" w:cs="Cambria Math"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 w:eastAsia="Times New Roman" w:cs="Times New Roman"/>
                        <w:bCs/>
                        <w:sz w:val="32"/>
                        <w:szCs w:val="32"/>
                        <w:lang w:val="en-US"/>
                      </w:rPr>
                      <m:rPr>
                        <m:nor m:val="on"/>
                      </m:rPr>
                      <m:t>Ts</m:t>
                    </m:r>
                    <m:r>
                      <w:rPr>
                        <w:rFonts w:ascii="Times New Roman" w:hAnsi="Times New Roman" w:eastAsia="Times New Roman" w:cs="Times New Roman"/>
                        <w:bCs/>
                        <w:sz w:val="32"/>
                        <w:szCs w:val="32"/>
                      </w:rPr>
                      <m:rPr>
                        <m:nor m:val="on"/>
                      </m:rPr>
                      <m:t> -</m:t>
                    </m:r>
                    <m:sSub>
                      <m:sSubPr>
                        <m:ctrlPr>
                          <w:rPr>
                            <w:rFonts w:hint="default" w:ascii="Cambria Math" w:hAnsi="Cambria Math" w:eastAsia="Cambria Math" w:cs="Cambria Math"/>
                            <w:bCs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32"/>
                            <w:szCs w:val="32"/>
                          </w:rPr>
                          <m:rPr>
                            <m:nor m:val="on"/>
                          </m:rPr>
                          <m:t> </m:t>
                        </m:r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32"/>
                            <w:szCs w:val="32"/>
                            <w:lang w:val="en-US"/>
                          </w:rPr>
                          <m:rPr>
                            <m:nor m:val="on"/>
                          </m:rPr>
                          <m:t>Td</m:t>
                        </m:r>
                      </m:e>
                      <m:sub>
                        <m:r>
                          <w:rPr>
                            <w:rFonts w:ascii="Times New Roman" w:hAnsi="Times New Roman" w:eastAsia="Times New Roman" w:cs="Times New Roman"/>
                            <w:bCs/>
                            <w:sz w:val="28"/>
                            <w:szCs w:val="32"/>
                            <w:lang w:val="en-US"/>
                          </w:rPr>
                          <m:rPr>
                            <m:nor m:val="on"/>
                          </m:rPr>
                          <m:t>p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hint="default" w:ascii="Cambria Math" w:hAnsi="Cambria Math" w:eastAsia="Cambria Math" w:cs="Cambria Math"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eastAsia="Times New Roman" w:cs="Times New Roman"/>
                        <w:bCs/>
                        <w:sz w:val="32"/>
                        <w:szCs w:val="32"/>
                        <w:lang w:val="en-US"/>
                      </w:rPr>
                      <m:rPr>
                        <m:nor m:val="on"/>
                      </m:rPr>
                      <m:t>DG</m:t>
                    </m:r>
                  </m:e>
                  <m:sub>
                    <m:r>
                      <w:rPr>
                        <w:rFonts w:ascii="Times New Roman" w:hAnsi="Times New Roman" w:eastAsia="Times New Roman" w:cs="Times New Roman"/>
                        <w:bCs/>
                        <w:sz w:val="28"/>
                        <w:szCs w:val="32"/>
                        <w:lang w:val="en-US"/>
                      </w:rPr>
                      <m:rPr>
                        <m:nor m:val="on"/>
                      </m:rPr>
                      <m:t>p</m:t>
                    </m:r>
                  </m:sub>
                </m:sSub>
              </m:den>
            </m:f>
          </m:e>
        </m:d>
        <m:r>
          <w:rPr>
            <w:rFonts w:ascii="Times New Roman" w:hAnsi="Times New Roman" w:eastAsia="Times New Roman" w:cs="Times New Roman"/>
            <w:bCs/>
            <w:sz w:val="32"/>
            <w:szCs w:val="32"/>
          </w:rPr>
          <m:rPr>
            <m:nor m:val="on"/>
          </m:rPr>
          <m:t>,</m:t>
        </m:r>
      </m:oMath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v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</w:rPr>
        <w:t xml:space="preserve">p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средняя скорость передвижения по однодневному участку p туристского маршрута с учетом остановок, км / час.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Количество групп выражается целочисленным значением, полученным после округления вычислений до ближайшего целого в меньшую сторону.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16. Коэффициенты управленческой емкости и рас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чет их величин определяются согласно приложению 1 к настоящему Порядку. Поправочные коэффициенты экологического, социального, социально-экономического и социокультурного характера и расчет их величин определяются согласно приложению 2 к настоящему Порядку.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bookmarkStart w:id="0" w:name="Par88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17. Определение коэффициентов управленческой емкости и поправочных коэффициентов основывается на учете следующих лимитирующих факторов развития туризма и управленческих параметров развития туризма: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экологические факторы, включая: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пожароопасность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риск затопления, подтопления;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развитие эрозионных процессов;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погодные условия;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воздействие на объекты животного и растительного мира;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изменение состояния почвенного и растительного покрова;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изменение состояния, снижение эстетических свойств ландшафтов;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изменение состояния водных объектов;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факторы социального характера, включая: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соответствие ожиданий полученному опыту и общая удовлетворенность путешествием;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качество услуг и инфраструктуры;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отношение к управленческим действиям;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плотность социальных контактов;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факторы социокультурного характера, включая: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влияние туризма на местную социокультурную среду;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показатели гостеприимства и толерантности местного населения в отношении туристов;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факторы социально-экономического характера, включая: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влияние туризма на особо охраняемой природной территории на социально-экономическую обстановку в регионе;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управленческие параметры, включая достаточность человеческих ресурсов, достаточность и качество объектов инфраструктуры.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18. </w:t>
      </w: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Площадь туристского объекта, необходимая для одного посетител</w:t>
      </w: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я, определяется экспертным путем на основе анализа вида деятельности и специфики территории исходя из конкретных характеристик объекта или маршрута, требований к ресурсам и условиям в различных зонах осуществления туристской деятельности и других факторов.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ind w:firstLine="9639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2"/>
          <w:lang w:val="ru-RU"/>
        </w:rPr>
        <w:t xml:space="preserve">Приложение 1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к Порядку</w:t>
      </w: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расчета предельно допустимой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рекреационной емкости особо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охраняемых природных территорий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местного значения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 осуществлении туризма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 xml:space="preserve">Коэффициенты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t xml:space="preserve">управленческой емкости и расчет их величин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8"/>
        <w:gridCol w:w="2974"/>
        <w:gridCol w:w="4838"/>
        <w:gridCol w:w="6497"/>
      </w:tblGrid>
      <w:tr>
        <w:tblPrEx/>
        <w:trPr/>
        <w:tc>
          <w:tcPr>
            <w:tcW w:w="66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Управленческие параметры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Виды ресурсов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Расчет коэффициента управленческой емкости (отношение текущих управленческих показателей (имеющихся ресурсов) к оптимальным (потребностям)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real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opt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4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8"/>
        <w:gridCol w:w="2974"/>
        <w:gridCol w:w="4838"/>
        <w:gridCol w:w="6497"/>
      </w:tblGrid>
      <w:tr>
        <w:tblPrEx/>
        <w:trPr>
          <w:tblHeader/>
        </w:trPr>
        <w:tc>
          <w:tcPr>
            <w:tcW w:w="66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Человеческие ресурсы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гиды для сопровождения групп на экскурсиях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гидов, сопровождающих туристские группы / необходимое количество гидов исходя из количества туристских групп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4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Инфраструктура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38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наличие оборудованной дорожно-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тропиночной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сети (количество дорог и их качество – грунтовые дороги или дороги с искусственным покрытием)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туристских троп и маршрутов / необходимое количество туристских троп и маршрутов исходя из количества туристских групп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483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туристских троп с качественным искусственным покрытием / необходимое количество туристских троп с качественным искусственным покрытием исходя из количества туристских групп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административные здания и сооружения (кордоны, научные стационары, пожарно-химические станции и прочее)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кордонов, научных стационаров, пожарно-химических станций / необходимое количество кордонов, научных стационаров, пожарно-химических станций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наличие пикниковых точек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оборудованных пикниковых точек / необходимое количество оборудованных пикниковых точек исходя из количества туристских групп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наличие мест стоянки автотранспорта (парковки)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оборудованных мест стоянки автотранспорта (парковок) / необходимое количество оборудованных мест стоянки автотранспорта (парковок) исходя из количества автотуристов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наличие специализированного оборудования и снаряжения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единиц специализированного оборудования и снаряжения / необходимое количество единиц специализированного оборудования и снаряжения исходя из количества целевых туристов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наличие информационных щитов в местах остановок и других информационных знаков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информационных щитов в местах остановок и других информационных знаков / необходимое количество информационных щитов в местах остановок и других информационных знаков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наличие оборудованных туалетов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оборудованных туалетов / необходимое количество оборудованных туалетов исходя из количества туристов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97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наличие мусорных контейнеров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имеющихся оборудованных мусорных контейнеров / необходимое количество мусорных контейнеров исходя из количества туристов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6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Перечень предоставляемых услуг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предоставление услуг по экскурсионному обслуживанию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MC = количество предоставляемых экскурсионных услуг / планируемое количество экскурсионных услуг исходя из потребностей туристов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9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99"/>
        <w:jc w:val="right"/>
        <w:rPr>
          <w:rFonts w:ascii="Times New Roman" w:hAnsi="Times New Roman" w:cs="Times New Roman"/>
          <w:b w:val="0"/>
          <w:sz w:val="28"/>
          <w:szCs w:val="22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 w:val="0"/>
          <w:sz w:val="28"/>
          <w:szCs w:val="22"/>
          <w:lang w:val="ru-RU"/>
        </w:rPr>
      </w:r>
      <w:r>
        <w:rPr>
          <w:rFonts w:ascii="Times New Roman" w:hAnsi="Times New Roman" w:cs="Times New Roman"/>
          <w:b w:val="0"/>
          <w:sz w:val="28"/>
          <w:szCs w:val="22"/>
        </w:rPr>
      </w:r>
    </w:p>
    <w:p>
      <w:pPr>
        <w:pStyle w:val="999"/>
        <w:ind w:firstLine="9639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2"/>
          <w:lang w:val="ru-RU"/>
        </w:rPr>
        <w:t xml:space="preserve">Приложение 2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к Порядку расчета предельно допустимой</w:t>
      </w:r>
      <w:r>
        <w:rPr>
          <w:rFonts w:ascii="Times New Roman" w:hAnsi="Times New Roman" w:cs="Times New Roman"/>
          <w:sz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рекреационной емкости особо</w:t>
      </w:r>
      <w:r>
        <w:rPr>
          <w:rFonts w:ascii="Times New Roman" w:hAnsi="Times New Roman" w:cs="Times New Roman"/>
          <w:sz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охраняемых природных территорий</w:t>
      </w:r>
      <w:r>
        <w:rPr>
          <w:rFonts w:ascii="Times New Roman" w:hAnsi="Times New Roman" w:cs="Times New Roman"/>
          <w:sz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местного значения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963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 осуществлении туризма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 xml:space="preserve">Поправочные коэффициенты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t xml:space="preserve">экологического, социального, социально-экономического и социокультурного характера и расчет их величин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4"/>
        <w:gridCol w:w="2378"/>
        <w:gridCol w:w="3415"/>
        <w:gridCol w:w="4562"/>
        <w:gridCol w:w="400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Группа факторов риска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Индикаторы фактора риска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Примеры расчета поправочного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коэффициента*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4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4"/>
        <w:gridCol w:w="2378"/>
        <w:gridCol w:w="3415"/>
        <w:gridCol w:w="4562"/>
        <w:gridCol w:w="4008"/>
      </w:tblGrid>
      <w:tr>
        <w:tblPrEx/>
        <w:trPr>
          <w:tblHeader/>
        </w:trPr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tcW w:w="1497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I. Факторы экологического характера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Пожароопасность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наступление периода высокого класса пожарной опасности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продолжительности пожароопасного периода к общей продолжительности туристского сезона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пожароопасный период – 40 дней,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продолжительность туристского сезона – 140 дней,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40 / 140 = 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Риск подтопления, затопления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подтопление / затопление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туристских маршрутов и площадных туристских объектов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протяженности / площади подтопленных, 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затопленных уч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астков к общей протяженности /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объекта – 1 000 кв. 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подтопленных/з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атопленных участков в период весеннего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разлива – 700 кв. 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700 / 1 000 = 0,3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Развитие эрозионных процессов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(появление / увеличе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ние площади нарушенных и опасных участков)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протяженность несанкционированных троп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общей протяженности несанкционированных троп к общей протяженности туристского маршрута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длина маршрута – 12 км,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непосредственной близости от официального маршрута появились 2 несанкционированные тропы протяженностью 2 и 3 км.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(2 + 3) / 12 = 0,59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случае если общая протяженность несанкционированных троп будет близка либо превысит по протяженности длину туристского маршрута, целесообразно закрыть маршрут и перепланировать его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  <w:lang w:val="ru-RU"/>
              </w:rPr>
            </w:pPr>
            <w:r>
              <w:rPr>
                <w:rFonts w:ascii="Tempora LGC Uni" w:hAnsi="Tempora LGC Uni" w:cs="Tempora LGC Uni"/>
                <w:lang w:val="ru-RU"/>
              </w:rPr>
            </w:r>
            <w:r>
              <w:rPr>
                <w:rFonts w:ascii="Tempora LGC Uni" w:hAnsi="Tempora LGC Uni" w:cs="Tempora LGC Uni"/>
                <w:lang w:val="ru-RU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появление / увеличение площади нарушенных участков на туристских маршрутах и площадных туристских объектах (стоянках, смотровых площадках и т.п.)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протяженности / площади нарушенных участков к общей протяженности /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длина маршрута – 2 км,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нарушенный эрозионными процессами участок – 0,2 км,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0,2 / 2 = 0,9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Погодные условия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неблагоприятные погодные условия (дни с ливневыми дождями, грозами и сильным ветром, аномально высокой температурой)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периода с неблагоприятными погодными условиями к общей продолжительности туристского сезона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период с неблагоприятными погодными условиями – 30 дней,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продолжительность туристского сезона – 140 дней,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30 / 140 = 0,79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Воздействие на объекты животного и растительного мира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увеличение количества синантропных видов, появление чужеродных видов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синантропных и чужеродных видов, появившихся на территории туристского объекта на конец туристского сезона, к общему количеству видов, встречающихся на территории туристского объекта до открытия туристского сезона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перечень объектов животного мира на территории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туристского объекта на начало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туристского сезона включал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29 объектов.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После начала туристского сезона на территории туристского объекта появился 1 синантропный объект животного мира (голубь сизый).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 / 29 = 0,97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сокращение количества редких видов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количества редких видов, зарегистрированных на территории туристского объекта на конец туристского сезона, к количеству редких видов, зарегистрированных на территории туристского объекта до открытия туристского сезона, – сокращение количества редких видов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перечень редких и находящихся под угрозой исчезновения объектов животного и растительного мира, занесенных в Красную книгу Российской Федерации, на территории туристского объекта на начало туристского сезона включал 7 объектов.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После начала туристского сезона с территории исчезли 2 вида (1 вид сосудистых растений и 1 вид млекопитающих.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2 / 7 = 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уменьшение проективного покрытия отдельных видов растений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ду 1 и отношением площади проективного покрытия отдельных видов растений на территории туристского объекта на конец туристского сезона к площади проективного покрытия отдельных видов растений на территории туристского объекта до открытия туристского сезона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площадь проективного покрытия злаковой растительности на смотровой площадке на начало туристского сезона составляла 100% (сплошное покрытие), на конец туристского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сезона – 70%.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70 / 100 = 0,3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продолжительность сезона размножения животных, в течение которого они наиболее уязвимы и реагируют на присутствие человека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продолжительности сезона размножения животных, в течение которого они наиболее уязвимы и реагируют на присутствие человека, когда введены ограничения, к общей продолжительности туристского сезона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продолжительность сезона размножения животных, в течение которого они наиболее уязвимы и реагируют на присутствие человека, когда введены ограничения, – 40 дней, продолжительность туристского сезона – 140 дней, 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40 / 140 = 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Изменение состояния почвенного и растительного покрова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сокращение площади покрытия растительного покрова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измененных участков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объекта (смотровая площадка) – 1 000 кв. м, ранее она вся была покрыта травянистой растительностью.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Площадь измененных участков, на которых растительный покров отсутствует либо находится в сильной стадии нарушения (4 – 5 стадия дегрессии), на конец туристского сезона – 300 кв. 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300 / 1 000 = 0,77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уменьшение высоты растительного покрова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 с угнетенной растительностью (высота растительного покрова в два и более раза ниже нормы)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объекта (смотровая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площадка) – 1 000 кв. м. 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высота растительного покрова (травянистой растительности) составляла от 10 до 25 см.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течение туристского сезона высота растительного покрова снизилась на отдельных участках до 3-5 см. Общая площадь измененных участков –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500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500 / 1 000 = 0,5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уменьшение мощности подстилки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 с измененной подстилкой (толщина подстилки в два и более раза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меньше, чем на неизмененных участках)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объекта (площадка для размещения палаток) – 1 000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толщина подстилки на участке составляла от 10 до 15 см.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течение туристского сезона высота растительного покрова снизилась на отдельных участках до 3-5 см. Общая площадь измененных участков –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500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500 / 1 000 = 0,5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увеличение площади оголенных корней деревьев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 с оголенными корнями деревьев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объекта (смотровая площадка) – 300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Ранее, на начало туристского сезона, оголенных корней деревьев не было зафиксировано.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 концу туристского сезона площадь участка с оголенными корнями деревьев составила 100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300 = 0,67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увеличение количества повреждений на деревьях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поврежденных деревьев к общему количеству деревьев на туристском объекте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на туристском объекте (зона отдыха, пикниковая зона) пр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оизрастает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120 деревьев. 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поврежденных деревьев не было зафиксировано.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 концу туристского сезона количество поломанных деревьев, деревьев с ободранной корой и тому подобных повреждений составило 30 шт.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30 / 120 = 0,75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сокращение подроста и подлеска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участков, где подрост и подлесок практически исчезли,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объекта (место отдыха) – 300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на всей площадь объекта произрастал подрост и подлесок.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 концу туристского сезона на площади 100 кв. м подрост и подлесок практически отсутствуют.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300 = 0,67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уплотнение верхних горизонтов почвы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 с уплотненными (вытоптанными) верхними горизонтами почвы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объекта (площадка для размещения палаток) – 500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уплотнение верхних горизонтов почвы (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вытаптывания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) не наблюдалось.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течение туристского сезона на отдельных участках появились уплотненные участки, общая площадь которых составила 150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150 / 500 = 0,7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появление / увеличение площади участков с вытоптанной до минерального горизонта поверхностью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 с вытоптанной до минерального горизонта поверхностью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объекта (площадка для размещения палаток) – 500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участки с вытоптанной до минераль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ного горизонта поверхностью отсутствовали. В течение туристского сезона на отдельных участках появились участки с вытоптанной до минерального горизонта поверхностью, общая площадь которых составила 100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Изменение состояния, снижение эстетических свойств ландшафтов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замусоривание твердыми коммунальными отходами, вандализм, загрязнение (химическое, шумовое, световое)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 ландшафтов, замусоренных твердыми коммунальными отходами, загрязненных (включая химическое и шумовое, световое загрязнение), пострадавших в результате вандализма, к общей площади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туристского объекта (рекреационная зона, зона отдыха) – 1 000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мусор, загрязнение и участки, поврежденные в результате вандализма, отсутствовали.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течение туристского сезона появились участки, замусоренные твердыми коммунальными отходами и другими видами загрязнений, общая площадь которых составила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400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400 / 1 000 = 0,6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Изменение состояния водных объектов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замусоривание и загрязнение водных объектов, изменение мутности, появление процесса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эвтрофикации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площади участков водных объектов, замусоренных, загрязненных, с проявлением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эвтрофикации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(«цветения»), к общей площади водных объекта в границах туристского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общая площадь водных объектов в границах туристского объекта –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1 000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Ранее на начало туристского сезона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замусоренных, загрязненных, с проявлением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эвтрофикации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(«цветения») водных объектов не наблюдалось.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течение туристского сезона появились участки водных объектов, замусоренных, загрязненных, с проявлением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эвтрофикации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(«цветения»), общая площадь которых составила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500 кв. 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500 / 1000 = 0,5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tcW w:w="1497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II. Факторы социального характера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Соответствие ожиданий полученному опыту и общая удовлетворенность путешествием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восприятие и значимость отдельных условий осуществления туризма (значимость факторов уединенности, сохранности дикой природы, аутентичности окружающей среды; восприятие факторов беспокойства, восприятие чувства места)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туристов, для которых условия осуществления туризма значимы,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 для которых условия осуществления туризма значимы, в результате соцопроса составило 125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125 / 500 = 0,75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оценка качества полученного опыта и впечатлений (удовлетворенность уровнем уединенности, уровнем сохранности дикой природы, уровнем аутентичности окружающей среды; соответствие полученного опыта ожиданиям)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туристов, удовлетворенных качеством полученного опыта и впечатлений,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 удовлетворенных качеством полученного опыта и впечатлений, в результате соцопроса составило 100 человек. 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Качество услуг и инфраструктуры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соответствие уровня инфраструктуры и спектра оказываемых услуг потребностям места и целевой аудитории (недостаточность или избыточность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инфраструктуры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или сервисов, оценка качества инфраструктуры и сервисов)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туристов, признавших достаточность инфраструктуры или сервисов, высоко оценивших качество инфраструктуры и сервисов,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 признавших недостаточность или избыточность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инфраструктуры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или сервисов, высоко оценивших качество инфраструктуры и сервисов, в результате соцопроса составило 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эффективность эколого-просветительской деятельности (полнота информационного сопровождения на маршрутах, уровень осведомленности туристов о посещаемой территории, принципах экологического туризма и др.)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туристов, признав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ших достаточную полноту информационного сопровождения на маршрутах, продемонстрировавших высокий уровень осведомленности туристов о посещаемой территории, принципах экологического туризма,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 посетителей, признавших достаточную полноту информационного сопровождения на маршрутах, продемонстрировавших высокий уровень осведомленности туристов о посещаемой территории, принципах экологического туризма, в результате соцопроса составило 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уровень безопасности (количество несчастных случаев, уровень сложности и комфортности маршрута)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туристов, признавших недостаточную безопасность на маршруте и чрезвычайно высокий уровень сложности и низкий уровень комфортности маршрута,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 признавших недостаточную безопасность на маршруте и чрезвычайно высокий уровень сложности и низкий уровень комфортности маршрута, в результате соцопроса составило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Отношение к управленческим действиям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оценка действий по управлению туристскими потоками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туристов, позитивно оценивающих действия по управлению туристскими потоками,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 позитивно оценивающих действия по управлению туристскими потоками, в результате соцопроса составило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отношение к введенным ограничениям и запретам (введение периодов запрета посещений, квот на посещение объектов и другое)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туристов, позитивно оценивающих введенные ограничения и запреты,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 позитивно оценивающих введенные ограничения и запреты, в результате соцопроса составило 100 человек. 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оценка уровня развития туристской инфраструктуры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туристов, позитивно оценивающих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уровень развития туристской инфраструктуры,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 позитивно оценивающих уровень развития туристской инфраструктуры, в результате соцопроса составило 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Плотность социальных контактов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плотность внутренних социальных контактов и ее восприятие (размер группы, общность взглядов членов группы, конфликтность внутри группы, восприятие внутренней плотности контактов)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туристов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, довольных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плотностью внутренних социальных контактов (размером группы, совместимостью взглядов членов группы, уровнем конфликтности внутри группы), к общему количеству туристов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посетителей,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 довольных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плотностью внутренних социальных контактов (размером группы, совместимостью взглядов членов группы, уровнем конфликтности внутри группы), в результате соцопроса составило 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посетителей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tcW w:w="1497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III. Факторы социокультурного характера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restart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vMerge w:val="restart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Влияние туризма на местную социокультурную среду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воздействие на сложившиеся традиции рекреационного использования отдельных объектов (доступ местного населения к рекреационным объектам и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участкам на особо охраняемых природных территориях, отношение местного населения к совместному с туристами использованию объектов традиционного отдыха, уровень «конкуренции» между туристами и местными жителями на традиционных для отдыха населения объектах)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местных жителей,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 позитивно оценивающих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влияние туризма на сложившиеся традиции рекреационного использования отдельных объектов, к общему количеству местных жителей, принявших участие в соцопросе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местных жителей,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позитивно оценивающих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влияние туризма на сложившиеся традиции рекреационного использования отдельных объектов, к общему количеству местных жителей,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 результате соцопроса составило 100 человек. Всего количество опрошенных местных жителей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2378" w:type="dxa"/>
            <w:vMerge w:val="continue"/>
            <w:textDirection w:val="lrTb"/>
            <w:noWrap w:val="false"/>
          </w:tcPr>
          <w:p>
            <w:pPr>
              <w:pStyle w:val="100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hAnsi="Tempora LGC Uni" w:cs="Tempora LGC Uni"/>
              </w:rPr>
            </w:r>
            <w:r>
              <w:rPr>
                <w:rFonts w:ascii="Tempora LGC Uni" w:hAnsi="Tempora LGC Uni" w:cs="Tempora LGC Uni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конфликты между рекреационным и иными видами природо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пользования (случаи совместного использования населением и туристами культурно-досуговой инфраструктуры, дорожно-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тропиночной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сети и др., отношение местного населения к совместному с тури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стами использованию объектов инфраструктуры, случаи осуществления туристской деятельности на объектах, традиционно используемых населением для иных видов деятельности, отношение населения к осуществлению туризма на объектах иной хозяйственной деятельности)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местных жителей,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 допускающих возможность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возникновения конфликтов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между рекреационным и иными видами природопользования, к общему количеству местных жителей, принявших участие в соцопросе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местных жителей, 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допускающих возможность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возникновения конфликтов между рекреационным и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иными видами природопользования, к общему количеству местных жителей в результате соцопроса составило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  <w:t xml:space="preserve">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местных жителей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Показатели гостеприимства и толерантности местного населения в отношении туристов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уровень контактов с туристами и гостеприимства (количеств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 и характер встреч населения и туристов, уровень «раздражимости» населения по отношению к туристам, уровень «открытости» социума, количество конфликтов между местными жителями и туристами, количество жалоб на туристов со стороны местных жителей и наоборот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местных жителей, признавших высокий уровень контактов с туристами и уровень гостеприимства, к общему количеству местных жителей, принявших участие в соцопросе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местных жителей, признавших высокий уровень контактов с туристами и уровень гостеприимства, в результате соцопроса составило 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местных жителей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tcW w:w="14977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IV. Факторы социально-экономического характера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14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8" w:type="dxa"/>
            <w:textDirection w:val="lrTb"/>
            <w:noWrap w:val="false"/>
          </w:tcPr>
          <w:p>
            <w:pPr>
              <w:pStyle w:val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Влияние туризма на особо охраняемые природные территории, на социально-экономическую обстановку в городе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блага от туризма для местного населения (количество местных жителей, занятых круглогодично и сезонно в туризме; количество местных жителей, эпизодически предоставляющих услуги;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уровень доходов местных жителей от туризма;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рабочих мест, создаваемых туризмом для местного населения;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распределение доходов от туризма среди различных получателей (доля местного населения);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уровень расходов туристов во время путешествия)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62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разница между 1 и отношением количества местных жителей, 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признающих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блага от туризма для местного населения, к общему количеству местных жителей, принявших участие в соцопросе (результаты соцопроса / анкетирования)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количество местных жителей, </w:t>
            </w: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признающих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блага от туризма для местного населения, в результате соцопроса составило 100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Всего количество опрошенных местных жителей составило 500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Поправочный коэффициент: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Cf</w:t>
            </w:r>
            <w:r>
              <w:rPr>
                <w:rFonts w:ascii="Times New Roman" w:hAnsi="Times New Roman" w:eastAsia="Times New Roman" w:cs="Times New Roman"/>
                <w:vertAlign w:val="subscript"/>
                <w:lang w:val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= 1 – 100 / 500 = 0,8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000"/>
        <w:jc w:val="both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1" w:name="undefined"/>
      <w:r>
        <w:rPr>
          <w:rFonts w:ascii="Times New Roman" w:hAnsi="Times New Roman" w:eastAsia="Times New Roman" w:cs="Times New Roman"/>
        </w:rPr>
      </w:r>
      <w:bookmarkEnd w:id="1"/>
      <w:r>
        <w:rPr>
          <w:rFonts w:ascii="Times New Roman" w:hAnsi="Times New Roman" w:eastAsia="Times New Roman" w:cs="Times New Roman"/>
          <w:lang w:val="ru-RU"/>
        </w:rPr>
        <w:t xml:space="preserve">-----------------------------------------</w:t>
      </w:r>
      <w:r>
        <w:rPr>
          <w:rFonts w:ascii="Times New Roman" w:hAnsi="Times New Roman" w:cs="Times New Roman"/>
        </w:rPr>
      </w:r>
    </w:p>
    <w:p>
      <w:pPr>
        <w:pStyle w:val="1000"/>
        <w:ind w:firstLine="720"/>
        <w:jc w:val="both"/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  <w:lang w:val="ru-RU"/>
        </w:rPr>
        <w:t xml:space="preserve">* Расчет поправочных коэффициентов производится по формуле:</w:t>
      </w:r>
      <w:r>
        <w:rPr>
          <w:rFonts w:ascii="Times New Roman" w:hAnsi="Times New Roman" w:cs="Times New Roman"/>
          <w:szCs w:val="24"/>
        </w:rPr>
      </w:r>
    </w:p>
    <w:p>
      <w:pPr>
        <w:pStyle w:val="1000"/>
        <w:ind w:firstLine="720"/>
        <w:jc w:val="both"/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cs="Times New Roman"/>
          <w:szCs w:val="24"/>
        </w:rPr>
      </w:r>
    </w:p>
    <w:p>
      <w:pPr>
        <w:ind w:firstLine="720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</w:rPr>
              <m:rPr>
                <m:sty m:val="p"/>
              </m:rPr>
              <m:t>Cf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</w:rPr>
              <m:rPr>
                <m:sty m:val="p"/>
              </m:rPr>
              <m:t>n</m:t>
            </m:r>
          </m:sub>
        </m:sSub>
      </m:oMath>
      <w:r>
        <w:rPr>
          <w:rFonts w:ascii="Times New Roman" w:hAnsi="Times New Roman" w:eastAsia="Times New Roman" w:cs="Times New Roman"/>
          <w:sz w:val="24"/>
          <w:szCs w:val="24"/>
        </w:rPr>
        <w:t xml:space="preserve"> = 1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</w:t>
      </w:r>
      <m:oMath>
        <m:box>
          <m:boxPr>
            <m:aln m:val="off"/>
            <m:diff m:val="off"/>
            <m:noBreak m:val="off"/>
            <m:opEmu m:val="off"/>
            <m:ctrlPr>
              <w:rPr>
                <w:rFonts w:hint="default" w:ascii="Cambria Math" w:hAnsi="Cambria Math" w:eastAsia="Cambria Math" w:cs="Cambria Math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hint="default" w:ascii="Cambria Math" w:hAnsi="Cambria Math" w:eastAsia="Cambria Math" w:cs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hint="default" w:ascii="Cambria Math" w:hAnsi="Cambria Math" w:eastAsia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eastAsia="zh-CN"/>
                      </w:rPr>
                      <m:rPr>
                        <m:sty m:val="p"/>
                      </m:rPr>
                      <m:t>Lm</m:t>
                    </m:r>
                  </m:e>
                  <m:sub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</w:rPr>
                      <m:rPr>
                        <m:sty m:val="p"/>
                      </m:rPr>
                      <m:t>x</m:t>
                    </m:r>
                  </m:sub>
                </m:sSub>
              </m:num>
              <m:den>
                <m:r>
                  <w:rPr>
                    <w:rFonts w:hint="default" w:ascii="Cambria Math" w:hAnsi="Cambria Math" w:eastAsia="Cambria Math" w:cs="Cambria Math"/>
                    <w:sz w:val="24"/>
                    <w:szCs w:val="24"/>
                  </w:rPr>
                  <m:rPr>
                    <m:sty m:val="p"/>
                  </m:rPr>
                  <m:t>Tm</m:t>
                </m:r>
              </m:den>
            </m:f>
          </m:e>
        </m:box>
      </m:oMath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где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корректирующее значение параметра фактора риска, лимитирующего возможн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ости рекреационной деятельности;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общее значение фактора риска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bookmarkStart w:id="2" w:name="_GoBack"/>
      <w:r>
        <w:rPr>
          <w:rFonts w:ascii="Times New Roman" w:hAnsi="Times New Roman" w:eastAsia="Times New Roman" w:cs="Times New Roman"/>
        </w:rPr>
      </w:r>
      <w:bookmarkEnd w:id="2"/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00"/>
        <w:ind w:firstLine="720"/>
        <w:jc w:val="both"/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  <w:lang w:val="ru-RU"/>
        </w:rPr>
        <w:t xml:space="preserve">Поправочные коэффициенты учитываются на основании индикаторов факторов риска, виды и количество которых зависят от специфики особо охраняемых природных территорий и расположенных в их границах туристических объектов.</w:t>
      </w:r>
      <w:r>
        <w:rPr>
          <w:rFonts w:ascii="Times New Roman" w:hAnsi="Times New Roman" w:cs="Times New Roman"/>
          <w:szCs w:val="24"/>
        </w:rPr>
      </w:r>
    </w:p>
    <w:p>
      <w:pPr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rFonts w:ascii="Tempora LGC Uni" w:hAnsi="Tempora LGC Uni" w:eastAsia="Tempora LGC Uni" w:cs="Tempora LGC Uni"/>
        <w:sz w:val="28"/>
        <w:szCs w:val="28"/>
      </w:rPr>
      <w:fldChar w:fldCharType="separate"/>
    </w:r>
    <w:r>
      <w:rPr>
        <w:rFonts w:ascii="Tempora LGC Uni" w:hAnsi="Tempora LGC Uni" w:eastAsia="Tempora LGC Uni" w:cs="Tempora LGC Uni"/>
        <w:sz w:val="28"/>
        <w:szCs w:val="28"/>
      </w:rPr>
      <w:t xml:space="preserve">11</w:t>
    </w:r>
    <w:r>
      <w:rPr>
        <w:rFonts w:ascii="Tempora LGC Uni" w:hAnsi="Tempora LGC Uni" w:eastAsia="Tempora LGC Uni" w:cs="Tempora LGC Uni"/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  <w:qFormat/>
  </w:style>
  <w:style w:type="paragraph" w:styleId="720">
    <w:name w:val="Heading 1"/>
    <w:basedOn w:val="719"/>
    <w:next w:val="719"/>
    <w:link w:val="747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48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basedOn w:val="729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29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29"/>
    <w:uiPriority w:val="10"/>
    <w:rPr>
      <w:sz w:val="48"/>
      <w:szCs w:val="48"/>
    </w:rPr>
  </w:style>
  <w:style w:type="character" w:styleId="742" w:customStyle="1">
    <w:name w:val="Subtitle Char"/>
    <w:basedOn w:val="729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Footnote Text Char"/>
    <w:uiPriority w:val="99"/>
    <w:rPr>
      <w:sz w:val="18"/>
    </w:rPr>
  </w:style>
  <w:style w:type="character" w:styleId="746" w:customStyle="1">
    <w:name w:val="Endnote Text Char"/>
    <w:uiPriority w:val="99"/>
    <w:rPr>
      <w:sz w:val="20"/>
    </w:rPr>
  </w:style>
  <w:style w:type="character" w:styleId="747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49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Title"/>
    <w:basedOn w:val="719"/>
    <w:next w:val="719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Название Знак"/>
    <w:basedOn w:val="729"/>
    <w:link w:val="756"/>
    <w:uiPriority w:val="10"/>
    <w:rPr>
      <w:sz w:val="48"/>
      <w:szCs w:val="48"/>
    </w:rPr>
  </w:style>
  <w:style w:type="paragraph" w:styleId="758">
    <w:name w:val="Subtitle"/>
    <w:basedOn w:val="719"/>
    <w:next w:val="719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basedOn w:val="729"/>
    <w:link w:val="758"/>
    <w:uiPriority w:val="11"/>
    <w:rPr>
      <w:sz w:val="24"/>
      <w:szCs w:val="24"/>
    </w:rPr>
  </w:style>
  <w:style w:type="paragraph" w:styleId="760">
    <w:name w:val="Quote"/>
    <w:basedOn w:val="719"/>
    <w:next w:val="719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19"/>
    <w:next w:val="719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character" w:styleId="764" w:customStyle="1">
    <w:name w:val="Header Char"/>
    <w:basedOn w:val="729"/>
    <w:uiPriority w:val="99"/>
  </w:style>
  <w:style w:type="character" w:styleId="765" w:customStyle="1">
    <w:name w:val="Footer Char"/>
    <w:basedOn w:val="729"/>
    <w:uiPriority w:val="99"/>
  </w:style>
  <w:style w:type="character" w:styleId="766" w:customStyle="1">
    <w:name w:val="Caption Char"/>
    <w:uiPriority w:val="99"/>
  </w:style>
  <w:style w:type="table" w:styleId="767" w:customStyle="1">
    <w:name w:val="Table Grid Light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8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basedOn w:val="73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basedOn w:val="73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basedOn w:val="73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basedOn w:val="73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2">
    <w:name w:val="footnote text"/>
    <w:basedOn w:val="719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basedOn w:val="729"/>
    <w:uiPriority w:val="99"/>
    <w:unhideWhenUsed/>
    <w:rPr>
      <w:vertAlign w:val="superscript"/>
    </w:rPr>
  </w:style>
  <w:style w:type="paragraph" w:styleId="895">
    <w:name w:val="endnote text"/>
    <w:basedOn w:val="719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basedOn w:val="729"/>
    <w:uiPriority w:val="99"/>
    <w:semiHidden/>
    <w:unhideWhenUsed/>
    <w:rPr>
      <w:vertAlign w:val="superscript"/>
    </w:rPr>
  </w:style>
  <w:style w:type="paragraph" w:styleId="898">
    <w:name w:val="toc 1"/>
    <w:basedOn w:val="719"/>
    <w:next w:val="719"/>
    <w:uiPriority w:val="39"/>
    <w:unhideWhenUsed/>
    <w:pPr>
      <w:spacing w:after="57"/>
    </w:pPr>
  </w:style>
  <w:style w:type="paragraph" w:styleId="899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00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1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2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3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4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5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06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19"/>
    <w:next w:val="719"/>
    <w:uiPriority w:val="99"/>
    <w:unhideWhenUsed/>
  </w:style>
  <w:style w:type="paragraph" w:styleId="909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Body Text"/>
    <w:basedOn w:val="719"/>
    <w:link w:val="938"/>
    <w:pPr>
      <w:ind w:right="3117"/>
    </w:pPr>
    <w:rPr>
      <w:rFonts w:ascii="Courier New" w:hAnsi="Courier New"/>
      <w:sz w:val="26"/>
    </w:rPr>
  </w:style>
  <w:style w:type="paragraph" w:styleId="911">
    <w:name w:val="Body Text Indent"/>
    <w:basedOn w:val="719"/>
    <w:pPr>
      <w:ind w:right="-1"/>
      <w:jc w:val="both"/>
    </w:pPr>
    <w:rPr>
      <w:sz w:val="26"/>
    </w:rPr>
  </w:style>
  <w:style w:type="paragraph" w:styleId="912">
    <w:name w:val="Footer"/>
    <w:basedOn w:val="719"/>
    <w:link w:val="997"/>
    <w:uiPriority w:val="99"/>
    <w:pPr>
      <w:tabs>
        <w:tab w:val="center" w:pos="4153" w:leader="none"/>
        <w:tab w:val="right" w:pos="8306" w:leader="none"/>
      </w:tabs>
    </w:pPr>
  </w:style>
  <w:style w:type="character" w:styleId="913">
    <w:name w:val="page number"/>
    <w:basedOn w:val="729"/>
  </w:style>
  <w:style w:type="paragraph" w:styleId="914">
    <w:name w:val="Header"/>
    <w:basedOn w:val="719"/>
    <w:link w:val="917"/>
    <w:uiPriority w:val="99"/>
    <w:pPr>
      <w:tabs>
        <w:tab w:val="center" w:pos="4153" w:leader="none"/>
        <w:tab w:val="right" w:pos="8306" w:leader="none"/>
      </w:tabs>
    </w:pPr>
  </w:style>
  <w:style w:type="paragraph" w:styleId="915">
    <w:name w:val="Balloon Text"/>
    <w:basedOn w:val="719"/>
    <w:link w:val="916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link w:val="915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914"/>
    <w:uiPriority w:val="99"/>
  </w:style>
  <w:style w:type="numbering" w:styleId="918" w:customStyle="1">
    <w:name w:val="Нет списка1"/>
    <w:next w:val="731"/>
    <w:uiPriority w:val="99"/>
    <w:semiHidden/>
    <w:unhideWhenUsed/>
  </w:style>
  <w:style w:type="paragraph" w:styleId="91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0">
    <w:name w:val="Hyperlink"/>
    <w:uiPriority w:val="99"/>
    <w:unhideWhenUsed/>
    <w:rPr>
      <w:color w:val="0000ff"/>
      <w:u w:val="single"/>
    </w:rPr>
  </w:style>
  <w:style w:type="character" w:styleId="921">
    <w:name w:val="FollowedHyperlink"/>
    <w:uiPriority w:val="99"/>
    <w:unhideWhenUsed/>
    <w:rPr>
      <w:color w:val="800080"/>
      <w:u w:val="single"/>
    </w:rPr>
  </w:style>
  <w:style w:type="paragraph" w:styleId="922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Форма"/>
    <w:rPr>
      <w:sz w:val="28"/>
      <w:szCs w:val="28"/>
    </w:rPr>
  </w:style>
  <w:style w:type="character" w:styleId="938" w:customStyle="1">
    <w:name w:val="Основной текст Знак"/>
    <w:link w:val="910"/>
    <w:rPr>
      <w:rFonts w:ascii="Courier New" w:hAnsi="Courier New"/>
      <w:sz w:val="26"/>
    </w:rPr>
  </w:style>
  <w:style w:type="paragraph" w:styleId="939" w:customStyle="1">
    <w:name w:val="ConsPlusNormal"/>
    <w:rPr>
      <w:sz w:val="28"/>
      <w:szCs w:val="28"/>
    </w:rPr>
  </w:style>
  <w:style w:type="numbering" w:styleId="940" w:customStyle="1">
    <w:name w:val="Нет списка11"/>
    <w:next w:val="731"/>
    <w:uiPriority w:val="99"/>
    <w:semiHidden/>
    <w:unhideWhenUsed/>
  </w:style>
  <w:style w:type="numbering" w:styleId="941" w:customStyle="1">
    <w:name w:val="Нет списка111"/>
    <w:next w:val="731"/>
    <w:uiPriority w:val="99"/>
    <w:semiHidden/>
    <w:unhideWhenUsed/>
  </w:style>
  <w:style w:type="paragraph" w:styleId="942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3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6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7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31"/>
    <w:uiPriority w:val="99"/>
    <w:semiHidden/>
    <w:unhideWhenUsed/>
  </w:style>
  <w:style w:type="numbering" w:styleId="991" w:customStyle="1">
    <w:name w:val="Нет списка3"/>
    <w:next w:val="731"/>
    <w:uiPriority w:val="99"/>
    <w:semiHidden/>
    <w:unhideWhenUsed/>
  </w:style>
  <w:style w:type="paragraph" w:styleId="992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31"/>
    <w:uiPriority w:val="99"/>
    <w:semiHidden/>
    <w:unhideWhenUsed/>
  </w:style>
  <w:style w:type="paragraph" w:styleId="996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7" w:customStyle="1">
    <w:name w:val="Нижний колонтитул Знак"/>
    <w:link w:val="912"/>
    <w:uiPriority w:val="99"/>
  </w:style>
  <w:style w:type="character" w:styleId="998">
    <w:name w:val="Placeholder Text"/>
    <w:basedOn w:val="729"/>
    <w:uiPriority w:val="99"/>
    <w:semiHidden/>
    <w:rPr>
      <w:color w:val="808080"/>
    </w:rPr>
  </w:style>
  <w:style w:type="paragraph" w:styleId="999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 w:eastAsia="zh-CN"/>
    </w:rPr>
  </w:style>
  <w:style w:type="paragraph" w:styleId="100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8C4C-F7B7-4D62-9F4A-2DA65192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2024-12-18T04:09:00Z</dcterms:created>
  <dcterms:modified xsi:type="dcterms:W3CDTF">2024-12-18T12:47:55Z</dcterms:modified>
</cp:coreProperties>
</file>