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34" w:rsidRDefault="00063E19">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7</w:t>
      </w:r>
    </w:p>
    <w:p w:rsidR="00343C34" w:rsidRDefault="00063E19">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решению</w:t>
      </w:r>
    </w:p>
    <w:p w:rsidR="00343C34" w:rsidRDefault="00063E19">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Пермской городской Думы</w:t>
      </w:r>
    </w:p>
    <w:p w:rsidR="00F1454A" w:rsidRDefault="00F1454A">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17.12.2024 № 218</w:t>
      </w:r>
    </w:p>
    <w:p w:rsidR="00343C34" w:rsidRDefault="00343C34">
      <w:pPr>
        <w:pStyle w:val="ConsPlusNormal"/>
        <w:jc w:val="both"/>
        <w:rPr>
          <w:rFonts w:ascii="Times New Roman" w:hAnsi="Times New Roman" w:cs="Times New Roman"/>
          <w:color w:val="000000" w:themeColor="text1"/>
          <w:sz w:val="28"/>
          <w:szCs w:val="28"/>
        </w:rPr>
      </w:pPr>
    </w:p>
    <w:p w:rsidR="00343C34" w:rsidRPr="003C50B1" w:rsidRDefault="00063E19">
      <w:pPr>
        <w:pStyle w:val="ConsPlusTitle"/>
        <w:jc w:val="center"/>
        <w:rPr>
          <w:rFonts w:ascii="Times New Roman" w:hAnsi="Times New Roman" w:cs="Times New Roman"/>
          <w:color w:val="000000" w:themeColor="text1"/>
          <w:sz w:val="28"/>
          <w:szCs w:val="28"/>
        </w:rPr>
      </w:pPr>
      <w:r w:rsidRPr="003C50B1">
        <w:rPr>
          <w:rFonts w:ascii="Times New Roman" w:hAnsi="Times New Roman" w:cs="Times New Roman"/>
          <w:color w:val="000000" w:themeColor="text1"/>
          <w:sz w:val="28"/>
          <w:szCs w:val="28"/>
        </w:rPr>
        <w:t>Случаи</w:t>
      </w:r>
    </w:p>
    <w:p w:rsidR="00343C34" w:rsidRPr="003C50B1" w:rsidRDefault="00063E19">
      <w:pPr>
        <w:pStyle w:val="ConsPlusTitle"/>
        <w:jc w:val="center"/>
        <w:rPr>
          <w:rFonts w:ascii="Times New Roman" w:hAnsi="Times New Roman" w:cs="Times New Roman"/>
          <w:color w:val="000000" w:themeColor="text1"/>
          <w:sz w:val="28"/>
          <w:szCs w:val="28"/>
        </w:rPr>
      </w:pPr>
      <w:r w:rsidRPr="003C50B1">
        <w:rPr>
          <w:rFonts w:ascii="Times New Roman" w:hAnsi="Times New Roman" w:cs="Times New Roman"/>
          <w:color w:val="000000" w:themeColor="text1"/>
          <w:sz w:val="28"/>
          <w:szCs w:val="28"/>
        </w:rPr>
        <w:t>предоставления из бюджета города Перми субсидий</w:t>
      </w:r>
    </w:p>
    <w:p w:rsidR="00343C34" w:rsidRPr="003C50B1" w:rsidRDefault="00063E19">
      <w:pPr>
        <w:pStyle w:val="ConsPlusTitle"/>
        <w:jc w:val="center"/>
        <w:rPr>
          <w:rFonts w:ascii="Times New Roman" w:hAnsi="Times New Roman" w:cs="Times New Roman"/>
          <w:color w:val="000000" w:themeColor="text1"/>
          <w:sz w:val="28"/>
          <w:szCs w:val="28"/>
        </w:rPr>
      </w:pPr>
      <w:r w:rsidRPr="003C50B1">
        <w:rPr>
          <w:rFonts w:ascii="Times New Roman" w:hAnsi="Times New Roman" w:cs="Times New Roman"/>
          <w:color w:val="000000" w:themeColor="text1"/>
          <w:sz w:val="28"/>
          <w:szCs w:val="28"/>
        </w:rPr>
        <w:t>юридическим лицам (за исключением субсидий государственным (муниципальным) учреждениям), инд</w:t>
      </w:r>
      <w:r>
        <w:rPr>
          <w:rFonts w:ascii="Times New Roman" w:hAnsi="Times New Roman" w:cs="Times New Roman"/>
          <w:color w:val="000000" w:themeColor="text1"/>
          <w:sz w:val="28"/>
          <w:szCs w:val="28"/>
        </w:rPr>
        <w:t>ивидуальным предпринимателям, а </w:t>
      </w:r>
      <w:r w:rsidRPr="003C50B1">
        <w:rPr>
          <w:rFonts w:ascii="Times New Roman" w:hAnsi="Times New Roman" w:cs="Times New Roman"/>
          <w:color w:val="000000" w:themeColor="text1"/>
          <w:sz w:val="28"/>
          <w:szCs w:val="28"/>
        </w:rPr>
        <w:t>также физическим лицам – произво</w:t>
      </w:r>
      <w:r>
        <w:rPr>
          <w:rFonts w:ascii="Times New Roman" w:hAnsi="Times New Roman" w:cs="Times New Roman"/>
          <w:color w:val="000000" w:themeColor="text1"/>
          <w:sz w:val="28"/>
          <w:szCs w:val="28"/>
        </w:rPr>
        <w:t>дителям товаров, работ, услуг и </w:t>
      </w:r>
      <w:r w:rsidRPr="003C50B1">
        <w:rPr>
          <w:rFonts w:ascii="Times New Roman" w:hAnsi="Times New Roman" w:cs="Times New Roman"/>
          <w:color w:val="000000" w:themeColor="text1"/>
          <w:sz w:val="28"/>
          <w:szCs w:val="28"/>
        </w:rPr>
        <w:t>некоммерческим организациям, грантов в форме субсидий некоммерческим организациям</w:t>
      </w:r>
    </w:p>
    <w:p w:rsidR="00343C34" w:rsidRDefault="00343C34">
      <w:pPr>
        <w:pStyle w:val="ConsPlusNormal"/>
        <w:jc w:val="both"/>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9214"/>
      </w:tblGrid>
      <w:tr w:rsidR="00343C34">
        <w:trPr>
          <w:tblHeader/>
        </w:trPr>
        <w:tc>
          <w:tcPr>
            <w:tcW w:w="704" w:type="dxa"/>
          </w:tcPr>
          <w:p w:rsidR="00343C34" w:rsidRDefault="00063E19">
            <w:pPr>
              <w:spacing w:after="0" w:line="240" w:lineRule="auto"/>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9214" w:type="dxa"/>
            <w:vAlign w:val="center"/>
          </w:tcPr>
          <w:p w:rsidR="00343C34" w:rsidRDefault="00063E19">
            <w:pPr>
              <w:spacing w:after="0" w:line="240" w:lineRule="auto"/>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Случаи предоставления</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1</w:t>
            </w:r>
          </w:p>
        </w:tc>
        <w:tc>
          <w:tcPr>
            <w:tcW w:w="9214" w:type="dxa"/>
          </w:tcPr>
          <w:p w:rsidR="00343C34" w:rsidRDefault="00063E19" w:rsidP="006D11AD">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343C34">
        <w:trPr>
          <w:trHeight w:val="236"/>
        </w:trPr>
        <w:tc>
          <w:tcPr>
            <w:tcW w:w="704" w:type="dxa"/>
            <w:vMerge w:val="restart"/>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themeColor="text1"/>
                <w:sz w:val="19"/>
                <w:highlight w:val="white"/>
              </w:rPr>
            </w:pPr>
            <w:r>
              <w:rPr>
                <w:rFonts w:ascii="Times New Roman" w:eastAsia="Times New Roman" w:hAnsi="Times New Roman" w:cs="Times New Roman"/>
                <w:color w:val="000000" w:themeColor="text1"/>
                <w:sz w:val="28"/>
                <w:szCs w:val="28"/>
                <w:highlight w:val="white"/>
              </w:rPr>
              <w:t>1.1</w:t>
            </w:r>
          </w:p>
        </w:tc>
        <w:tc>
          <w:tcPr>
            <w:tcW w:w="9214" w:type="dxa"/>
            <w:vMerge w:val="restart"/>
          </w:tcPr>
          <w:p w:rsidR="00343C34" w:rsidRDefault="00063E19" w:rsidP="006D11AD">
            <w:pPr>
              <w:pBdr>
                <w:top w:val="none" w:sz="4" w:space="0" w:color="000000"/>
                <w:left w:val="none" w:sz="4" w:space="0" w:color="000000"/>
                <w:bottom w:val="none" w:sz="4" w:space="0" w:color="000000"/>
                <w:right w:val="none" w:sz="4" w:space="0" w:color="000000"/>
              </w:pBdr>
              <w:spacing w:after="0" w:line="240" w:lineRule="atLeast"/>
              <w:jc w:val="both"/>
              <w:rPr>
                <w:bCs/>
                <w:i/>
                <w:color w:val="000000" w:themeColor="text1"/>
              </w:rPr>
            </w:pPr>
            <w:r>
              <w:rPr>
                <w:rFonts w:ascii="Times New Roman" w:eastAsia="Times New Roman" w:hAnsi="Times New Roman" w:cs="Times New Roman"/>
                <w:color w:val="000000" w:themeColor="text1"/>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343C34">
        <w:trPr>
          <w:trHeight w:val="236"/>
        </w:trPr>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Cs/>
                <w:i/>
                <w:color w:val="000000" w:themeColor="text1"/>
                <w:sz w:val="19"/>
                <w:highlight w:val="white"/>
              </w:rPr>
            </w:pPr>
            <w:r>
              <w:rPr>
                <w:rFonts w:ascii="Times New Roman" w:eastAsia="Times New Roman" w:hAnsi="Times New Roman" w:cs="Times New Roman"/>
                <w:color w:val="000000" w:themeColor="text1"/>
                <w:sz w:val="28"/>
                <w:szCs w:val="28"/>
              </w:rPr>
              <w:t>1.2</w:t>
            </w:r>
          </w:p>
        </w:tc>
        <w:tc>
          <w:tcPr>
            <w:tcW w:w="9214" w:type="dxa"/>
          </w:tcPr>
          <w:p w:rsidR="00343C34" w:rsidRDefault="00063E19" w:rsidP="006D11AD">
            <w:pPr>
              <w:pBdr>
                <w:top w:val="none" w:sz="4" w:space="0" w:color="000000"/>
                <w:left w:val="none" w:sz="4" w:space="0" w:color="000000"/>
                <w:bottom w:val="none" w:sz="4" w:space="0" w:color="000000"/>
                <w:right w:val="none" w:sz="4" w:space="0" w:color="000000"/>
              </w:pBdr>
              <w:spacing w:after="0" w:line="240" w:lineRule="atLeast"/>
              <w:jc w:val="both"/>
              <w:rPr>
                <w:color w:val="000000" w:themeColor="text1"/>
                <w:sz w:val="28"/>
                <w:szCs w:val="28"/>
              </w:rPr>
            </w:pPr>
            <w:r>
              <w:rPr>
                <w:rFonts w:ascii="Times New Roman" w:eastAsia="Times New Roman" w:hAnsi="Times New Roman" w:cs="Times New Roman"/>
                <w:color w:val="000000" w:themeColor="text1"/>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343C34">
        <w:tc>
          <w:tcPr>
            <w:tcW w:w="704" w:type="dxa"/>
          </w:tcPr>
          <w:p w:rsidR="00343C34" w:rsidRDefault="00D379D4">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1.3</w:t>
            </w:r>
          </w:p>
        </w:tc>
        <w:tc>
          <w:tcPr>
            <w:tcW w:w="9214" w:type="dxa"/>
          </w:tcPr>
          <w:p w:rsidR="00343C34" w:rsidRDefault="00063E19" w:rsidP="006D11AD">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организациям отдыха детей и их оздоровления (за исключением государственных (муниципальных) учреждений), индивидуальным предпринимателям,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rsidR="00343C34">
        <w:tc>
          <w:tcPr>
            <w:tcW w:w="704" w:type="dxa"/>
          </w:tcPr>
          <w:p w:rsidR="00343C34" w:rsidRDefault="00D379D4">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1.4</w:t>
            </w:r>
          </w:p>
        </w:tc>
        <w:tc>
          <w:tcPr>
            <w:tcW w:w="9214" w:type="dxa"/>
          </w:tcPr>
          <w:p w:rsidR="00343C34" w:rsidRDefault="00063E19" w:rsidP="006D11AD">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 xml:space="preserve">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w:t>
            </w:r>
            <w:r>
              <w:rPr>
                <w:rFonts w:ascii="Times New Roman" w:eastAsia="Times New Roman" w:hAnsi="Times New Roman" w:cs="Times New Roman"/>
                <w:color w:val="000000" w:themeColor="text1"/>
                <w:sz w:val="28"/>
                <w:szCs w:val="28"/>
              </w:rPr>
              <w:lastRenderedPageBreak/>
              <w:t>данных хозяйствующих субъектов, индивидуальных предпринимателей</w:t>
            </w:r>
          </w:p>
        </w:tc>
      </w:tr>
      <w:tr w:rsidR="00343C34">
        <w:tc>
          <w:tcPr>
            <w:tcW w:w="704" w:type="dxa"/>
          </w:tcPr>
          <w:p w:rsidR="00343C34" w:rsidRDefault="00D379D4">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lastRenderedPageBreak/>
              <w:t>1.5</w:t>
            </w:r>
          </w:p>
        </w:tc>
        <w:tc>
          <w:tcPr>
            <w:tcW w:w="9214" w:type="dxa"/>
          </w:tcPr>
          <w:p w:rsidR="00343C34" w:rsidRDefault="00063E19" w:rsidP="006D11AD">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343C34">
        <w:tc>
          <w:tcPr>
            <w:tcW w:w="704" w:type="dxa"/>
          </w:tcPr>
          <w:p w:rsidR="00343C34" w:rsidRDefault="00D379D4">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t>1.6</w:t>
            </w:r>
          </w:p>
        </w:tc>
        <w:tc>
          <w:tcPr>
            <w:tcW w:w="9214" w:type="dxa"/>
          </w:tcPr>
          <w:p w:rsidR="00343C34" w:rsidRPr="00E072CE" w:rsidRDefault="00063E19" w:rsidP="006D11AD">
            <w:pPr>
              <w:pStyle w:val="ConsPlusNormal0"/>
              <w:spacing w:line="240" w:lineRule="atLeast"/>
              <w:jc w:val="both"/>
              <w:rPr>
                <w:rFonts w:ascii="Times New Roman" w:hAnsi="Times New Roman" w:cs="Times New Roman"/>
                <w:color w:val="000000" w:themeColor="text1"/>
                <w:lang w:val="ru-RU"/>
              </w:rPr>
            </w:pPr>
            <w:r>
              <w:rPr>
                <w:rFonts w:ascii="Times New Roman" w:eastAsia="Times New Roman" w:hAnsi="Times New Roman" w:cs="Times New Roman"/>
                <w:color w:val="000000" w:themeColor="text1"/>
                <w:sz w:val="28"/>
                <w:szCs w:val="28"/>
                <w:lang w:val="ru-RU"/>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 обустройством детских игровых и (или) детских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343C34">
        <w:tc>
          <w:tcPr>
            <w:tcW w:w="704" w:type="dxa"/>
          </w:tcPr>
          <w:p w:rsidR="00343C34" w:rsidRDefault="00D379D4">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t>1.7</w:t>
            </w:r>
          </w:p>
        </w:tc>
        <w:tc>
          <w:tcPr>
            <w:tcW w:w="9214" w:type="dxa"/>
          </w:tcPr>
          <w:p w:rsidR="00343C34" w:rsidRPr="00E072CE" w:rsidRDefault="00063E19" w:rsidP="006D11AD">
            <w:pPr>
              <w:pStyle w:val="ConsPlusNormal0"/>
              <w:spacing w:line="240" w:lineRule="atLeast"/>
              <w:jc w:val="both"/>
              <w:rPr>
                <w:rFonts w:ascii="Times New Roman" w:hAnsi="Times New Roman" w:cs="Times New Roman"/>
                <w:color w:val="000000" w:themeColor="text1"/>
                <w:lang w:val="ru-RU"/>
              </w:rPr>
            </w:pPr>
            <w:r>
              <w:rPr>
                <w:rFonts w:ascii="Times New Roman" w:eastAsia="Times New Roman" w:hAnsi="Times New Roman" w:cs="Times New Roman"/>
                <w:color w:val="000000" w:themeColor="text1"/>
                <w:sz w:val="28"/>
                <w:szCs w:val="28"/>
                <w:lang w:val="ru-RU"/>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343C34">
        <w:tc>
          <w:tcPr>
            <w:tcW w:w="704" w:type="dxa"/>
          </w:tcPr>
          <w:p w:rsidR="00343C34" w:rsidRDefault="00D379D4">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t>1.8</w:t>
            </w:r>
          </w:p>
        </w:tc>
        <w:tc>
          <w:tcPr>
            <w:tcW w:w="9214" w:type="dxa"/>
          </w:tcPr>
          <w:p w:rsidR="00343C34" w:rsidRPr="00E072CE" w:rsidRDefault="00063E19" w:rsidP="006D11AD">
            <w:pPr>
              <w:pStyle w:val="ConsPlusNormal0"/>
              <w:spacing w:line="240" w:lineRule="atLeast"/>
              <w:jc w:val="both"/>
              <w:rPr>
                <w:rFonts w:ascii="Times New Roman" w:hAnsi="Times New Roman" w:cs="Times New Roman"/>
                <w:color w:val="000000" w:themeColor="text1"/>
                <w:lang w:val="ru-RU"/>
              </w:rPr>
            </w:pPr>
            <w:proofErr w:type="gramStart"/>
            <w:r>
              <w:rPr>
                <w:rFonts w:ascii="Times New Roman" w:eastAsia="Times New Roman" w:hAnsi="Times New Roman" w:cs="Times New Roman"/>
                <w:color w:val="000000" w:themeColor="text1"/>
                <w:sz w:val="28"/>
                <w:szCs w:val="28"/>
                <w:lang w:val="ru-RU"/>
              </w:rPr>
              <w:t>собственникам помещений в многоквартирных домах города Перми, выбравшим в качестве способа управления многоквартирным домом</w:t>
            </w:r>
            <w:r w:rsidR="00DC1C76">
              <w:rPr>
                <w:rFonts w:ascii="Times New Roman" w:eastAsia="Times New Roman" w:hAnsi="Times New Roman" w:cs="Times New Roman"/>
                <w:color w:val="000000" w:themeColor="text1"/>
                <w:sz w:val="28"/>
                <w:szCs w:val="28"/>
                <w:lang w:val="ru-RU"/>
              </w:rPr>
              <w:t xml:space="preserve"> -</w:t>
            </w:r>
            <w:bookmarkStart w:id="0" w:name="_GoBack"/>
            <w:bookmarkEnd w:id="0"/>
            <w:r>
              <w:rPr>
                <w:rFonts w:ascii="Times New Roman" w:eastAsia="Times New Roman" w:hAnsi="Times New Roman" w:cs="Times New Roman"/>
                <w:color w:val="000000" w:themeColor="text1"/>
                <w:sz w:val="28"/>
                <w:szCs w:val="28"/>
                <w:lang w:val="ru-RU"/>
              </w:rPr>
              <w:t xml:space="preserve"> непосредственное управление собственниками помещений в </w:t>
            </w:r>
            <w:r>
              <w:rPr>
                <w:rFonts w:ascii="Times New Roman" w:eastAsia="Times New Roman" w:hAnsi="Times New Roman" w:cs="Times New Roman"/>
                <w:color w:val="000000" w:themeColor="text1"/>
                <w:sz w:val="28"/>
                <w:szCs w:val="28"/>
                <w:lang w:val="ru-RU"/>
              </w:rPr>
              <w:lastRenderedPageBreak/>
              <w:t>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roofErr w:type="gramEnd"/>
          </w:p>
        </w:tc>
      </w:tr>
      <w:tr w:rsidR="00343C34">
        <w:tc>
          <w:tcPr>
            <w:tcW w:w="704" w:type="dxa"/>
          </w:tcPr>
          <w:p w:rsidR="00343C34" w:rsidRDefault="00D379D4">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lastRenderedPageBreak/>
              <w:t>1.9</w:t>
            </w:r>
          </w:p>
        </w:tc>
        <w:tc>
          <w:tcPr>
            <w:tcW w:w="9214" w:type="dxa"/>
          </w:tcPr>
          <w:p w:rsidR="00343C34" w:rsidRPr="00E072CE" w:rsidRDefault="00063E19" w:rsidP="006D11AD">
            <w:pPr>
              <w:pStyle w:val="ConsPlusNormal0"/>
              <w:spacing w:line="240" w:lineRule="atLeast"/>
              <w:jc w:val="both"/>
              <w:rPr>
                <w:rFonts w:ascii="Times New Roman" w:hAnsi="Times New Roman" w:cs="Times New Roman"/>
                <w:color w:val="000000" w:themeColor="text1"/>
                <w:lang w:val="ru-RU"/>
              </w:rPr>
            </w:pPr>
            <w:r>
              <w:rPr>
                <w:rFonts w:ascii="Times New Roman" w:eastAsia="Times New Roman" w:hAnsi="Times New Roman" w:cs="Times New Roman"/>
                <w:color w:val="000000" w:themeColor="text1"/>
                <w:sz w:val="28"/>
                <w:szCs w:val="28"/>
                <w:lang w:val="ru-RU"/>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343C34">
        <w:tc>
          <w:tcPr>
            <w:tcW w:w="704" w:type="dxa"/>
          </w:tcPr>
          <w:p w:rsidR="00343C34" w:rsidRDefault="00D379D4">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t>1.10</w:t>
            </w:r>
          </w:p>
        </w:tc>
        <w:tc>
          <w:tcPr>
            <w:tcW w:w="9214" w:type="dxa"/>
          </w:tcPr>
          <w:p w:rsidR="00343C34" w:rsidRPr="00E072CE" w:rsidRDefault="00063E19" w:rsidP="006D11AD">
            <w:pPr>
              <w:pStyle w:val="ConsPlusNormal0"/>
              <w:spacing w:line="240" w:lineRule="atLeast"/>
              <w:jc w:val="both"/>
              <w:rPr>
                <w:rFonts w:ascii="Times New Roman" w:hAnsi="Times New Roman" w:cs="Times New Roman"/>
                <w:color w:val="000000" w:themeColor="text1"/>
                <w:lang w:val="ru-RU"/>
              </w:rPr>
            </w:pPr>
            <w:r>
              <w:rPr>
                <w:rFonts w:ascii="Times New Roman" w:eastAsia="Times New Roman" w:hAnsi="Times New Roman" w:cs="Times New Roman"/>
                <w:color w:val="000000" w:themeColor="text1"/>
                <w:sz w:val="28"/>
                <w:szCs w:val="28"/>
                <w:lang w:val="ru-RU"/>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p>
        </w:tc>
      </w:tr>
      <w:tr w:rsidR="00343C34">
        <w:tc>
          <w:tcPr>
            <w:tcW w:w="704" w:type="dxa"/>
          </w:tcPr>
          <w:p w:rsidR="00343C34" w:rsidRDefault="00D379D4">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t>1.11</w:t>
            </w:r>
          </w:p>
        </w:tc>
        <w:tc>
          <w:tcPr>
            <w:tcW w:w="9214" w:type="dxa"/>
          </w:tcPr>
          <w:p w:rsidR="00343C34" w:rsidRPr="00E072CE" w:rsidRDefault="00063E19" w:rsidP="006D11AD">
            <w:pPr>
              <w:pStyle w:val="ConsPlusNormal0"/>
              <w:spacing w:line="240" w:lineRule="atLeast"/>
              <w:jc w:val="both"/>
              <w:rPr>
                <w:rFonts w:ascii="Times New Roman" w:hAnsi="Times New Roman" w:cs="Times New Roman"/>
                <w:color w:val="000000" w:themeColor="text1"/>
                <w:lang w:val="ru-RU"/>
              </w:rPr>
            </w:pPr>
            <w:r>
              <w:rPr>
                <w:rFonts w:ascii="Times New Roman" w:eastAsia="Times New Roman" w:hAnsi="Times New Roman" w:cs="Times New Roman"/>
                <w:color w:val="000000" w:themeColor="text1"/>
                <w:sz w:val="28"/>
                <w:szCs w:val="28"/>
                <w:lang w:val="ru-RU"/>
              </w:rPr>
              <w:t>муниципальному предприятию «Пермводоканал» на финансовое обеспечение расходов по погашению денежных обязательств по договору займа</w:t>
            </w:r>
          </w:p>
        </w:tc>
      </w:tr>
      <w:tr w:rsidR="00343C34">
        <w:tc>
          <w:tcPr>
            <w:tcW w:w="704" w:type="dxa"/>
          </w:tcPr>
          <w:p w:rsidR="00343C34" w:rsidRDefault="00D379D4">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t>1.12</w:t>
            </w:r>
          </w:p>
        </w:tc>
        <w:tc>
          <w:tcPr>
            <w:tcW w:w="9214" w:type="dxa"/>
          </w:tcPr>
          <w:p w:rsidR="00343C34" w:rsidRPr="00E072CE" w:rsidRDefault="00E072CE" w:rsidP="006D11AD">
            <w:pPr>
              <w:pStyle w:val="ConsPlusNormal0"/>
              <w:spacing w:line="240" w:lineRule="atLeast"/>
              <w:jc w:val="both"/>
              <w:rPr>
                <w:rFonts w:ascii="Times New Roman" w:hAnsi="Times New Roman" w:cs="Times New Roman"/>
                <w:color w:val="000000" w:themeColor="text1"/>
                <w:lang w:val="ru-RU"/>
              </w:rPr>
            </w:pPr>
            <w:r w:rsidRPr="00E072CE">
              <w:rPr>
                <w:color w:val="000000"/>
                <w:sz w:val="28"/>
                <w:szCs w:val="22"/>
                <w:lang w:val="ru-RU"/>
              </w:rPr>
              <w:t>юридическим лицам (за исключением государственных (муниципальных) учреждений), индивидуальным предпринимателям, осуществляющим перевозку пассажиров автомобильным транспортом по муниципальным маршрутам регулярных перевозок города Перми по регулируемым тарифам, в целях возмещения затрат, связанных с уплатой лизинговых платежей по договорам финансовой аренды (лизинга) на приобретение автобусов в части процентов по лизинговым ставкам</w:t>
            </w:r>
          </w:p>
        </w:tc>
      </w:tr>
      <w:tr w:rsidR="00343C34">
        <w:tc>
          <w:tcPr>
            <w:tcW w:w="704" w:type="dxa"/>
          </w:tcPr>
          <w:p w:rsidR="00343C34" w:rsidRDefault="00D379D4">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t>1.13</w:t>
            </w:r>
          </w:p>
        </w:tc>
        <w:tc>
          <w:tcPr>
            <w:tcW w:w="9214" w:type="dxa"/>
          </w:tcPr>
          <w:p w:rsidR="00343C34" w:rsidRPr="00E072CE" w:rsidRDefault="00063E19" w:rsidP="006D11AD">
            <w:pPr>
              <w:pStyle w:val="ConsPlusNormal0"/>
              <w:spacing w:line="240" w:lineRule="atLeast"/>
              <w:jc w:val="both"/>
              <w:rPr>
                <w:rFonts w:ascii="Times New Roman" w:hAnsi="Times New Roman" w:cs="Times New Roman"/>
                <w:color w:val="000000" w:themeColor="text1"/>
                <w:lang w:val="ru-RU"/>
              </w:rPr>
            </w:pPr>
            <w:r>
              <w:rPr>
                <w:rFonts w:ascii="Times New Roman" w:eastAsia="Times New Roman" w:hAnsi="Times New Roman" w:cs="Times New Roman"/>
                <w:color w:val="000000" w:themeColor="text1"/>
                <w:sz w:val="28"/>
                <w:szCs w:val="28"/>
                <w:lang w:val="ru-RU"/>
              </w:rPr>
              <w:t xml:space="preserve">собственникам помещений в многоквартирных домах города Перми, выбравших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w:t>
            </w:r>
            <w:r>
              <w:rPr>
                <w:rFonts w:ascii="Times New Roman" w:eastAsia="Times New Roman" w:hAnsi="Times New Roman" w:cs="Times New Roman"/>
                <w:color w:val="000000" w:themeColor="text1"/>
                <w:sz w:val="28"/>
                <w:szCs w:val="28"/>
                <w:lang w:val="ru-RU"/>
              </w:rPr>
              <w:lastRenderedPageBreak/>
              <w:t>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обустройством контейнерных площадок нового образца на придомовых территориях многоквартирных домов города Перми</w:t>
            </w:r>
          </w:p>
        </w:tc>
      </w:tr>
      <w:tr w:rsidR="009A3966">
        <w:tc>
          <w:tcPr>
            <w:tcW w:w="704" w:type="dxa"/>
          </w:tcPr>
          <w:p w:rsidR="009A3966" w:rsidRDefault="00D379D4">
            <w:pPr>
              <w:pStyle w:val="ConsPlusNormal0"/>
              <w:jc w:val="center"/>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rPr>
              <w:lastRenderedPageBreak/>
              <w:t>1.14</w:t>
            </w:r>
          </w:p>
        </w:tc>
        <w:tc>
          <w:tcPr>
            <w:tcW w:w="9214" w:type="dxa"/>
          </w:tcPr>
          <w:p w:rsidR="009A3966" w:rsidRPr="009A3966" w:rsidRDefault="009A3966" w:rsidP="006D11AD">
            <w:pPr>
              <w:pStyle w:val="ConsPlusNormal0"/>
              <w:spacing w:line="240" w:lineRule="atLeast"/>
              <w:jc w:val="both"/>
              <w:rPr>
                <w:rFonts w:ascii="Times New Roman" w:eastAsia="Times New Roman" w:hAnsi="Times New Roman" w:cs="Times New Roman"/>
                <w:color w:val="000000" w:themeColor="text1"/>
                <w:sz w:val="28"/>
                <w:szCs w:val="28"/>
                <w:lang w:val="ru-RU"/>
              </w:rPr>
            </w:pPr>
            <w:r w:rsidRPr="009A3966">
              <w:rPr>
                <w:color w:val="000000"/>
                <w:sz w:val="28"/>
                <w:szCs w:val="22"/>
                <w:lang w:val="ru-RU"/>
              </w:rPr>
              <w:t>муниципальному предприятию «Пермводоканал» на финансовое обеспечение затрат, связанных с содержанием санитарно-бытовых помещений</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2</w:t>
            </w:r>
          </w:p>
        </w:tc>
        <w:tc>
          <w:tcPr>
            <w:tcW w:w="9214" w:type="dxa"/>
          </w:tcPr>
          <w:p w:rsidR="00343C34" w:rsidRDefault="00063E19" w:rsidP="003D323E">
            <w:pPr>
              <w:pBdr>
                <w:top w:val="none" w:sz="4" w:space="0" w:color="000000"/>
                <w:left w:val="none" w:sz="4" w:space="0" w:color="000000"/>
                <w:bottom w:val="none" w:sz="4" w:space="0" w:color="000000"/>
                <w:right w:val="none" w:sz="4" w:space="0" w:color="000000"/>
              </w:pBdr>
              <w:spacing w:after="0" w:line="288" w:lineRule="atLeast"/>
              <w:jc w:val="both"/>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Субсидии некоммерческим организациям, не являющимся государственными (муниципальными) учреждениями:</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2.1</w:t>
            </w:r>
          </w:p>
        </w:tc>
        <w:tc>
          <w:tcPr>
            <w:tcW w:w="9214" w:type="dxa"/>
          </w:tcPr>
          <w:p w:rsidR="00343C34" w:rsidRDefault="00063E19" w:rsidP="003D323E">
            <w:pPr>
              <w:pBdr>
                <w:top w:val="none" w:sz="4" w:space="0" w:color="000000"/>
                <w:left w:val="none" w:sz="4" w:space="0" w:color="000000"/>
                <w:bottom w:val="none" w:sz="4" w:space="0" w:color="000000"/>
                <w:right w:val="none" w:sz="4" w:space="0" w:color="000000"/>
              </w:pBdr>
              <w:spacing w:after="0" w:line="288"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некоммерческой организации «Фонд Развития Пермского Баскетбола «ПАРМА»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2.2</w:t>
            </w:r>
          </w:p>
        </w:tc>
        <w:tc>
          <w:tcPr>
            <w:tcW w:w="9214" w:type="dxa"/>
          </w:tcPr>
          <w:p w:rsidR="00343C34" w:rsidRDefault="00063E19" w:rsidP="003D323E">
            <w:pPr>
              <w:pBdr>
                <w:top w:val="none" w:sz="4" w:space="0" w:color="000000"/>
                <w:left w:val="none" w:sz="4" w:space="0" w:color="000000"/>
                <w:bottom w:val="none" w:sz="4" w:space="0" w:color="000000"/>
                <w:right w:val="none" w:sz="4" w:space="0" w:color="000000"/>
              </w:pBdr>
              <w:spacing w:after="0" w:line="288"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343C34">
        <w:tc>
          <w:tcPr>
            <w:tcW w:w="704" w:type="dxa"/>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2.3</w:t>
            </w:r>
          </w:p>
        </w:tc>
        <w:tc>
          <w:tcPr>
            <w:tcW w:w="9214" w:type="dxa"/>
          </w:tcPr>
          <w:p w:rsidR="00343C34" w:rsidRDefault="00063E19" w:rsidP="003D323E">
            <w:pP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343C34">
        <w:trPr>
          <w:trHeight w:val="3956"/>
        </w:trPr>
        <w:tc>
          <w:tcPr>
            <w:tcW w:w="704" w:type="dxa"/>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2.4</w:t>
            </w:r>
          </w:p>
        </w:tc>
        <w:tc>
          <w:tcPr>
            <w:tcW w:w="9214" w:type="dxa"/>
          </w:tcPr>
          <w:p w:rsidR="00343C34" w:rsidRDefault="00063E19" w:rsidP="00D157A0">
            <w:pPr>
              <w:spacing w:after="0" w:line="240" w:lineRule="atLeast"/>
              <w:jc w:val="both"/>
              <w:rPr>
                <w:rFonts w:ascii="Times New Roman" w:hAnsi="Times New Roman" w:cs="Times New Roman"/>
                <w:color w:val="000000" w:themeColor="text1"/>
              </w:rPr>
            </w:pPr>
            <w:proofErr w:type="gramStart"/>
            <w:r>
              <w:rPr>
                <w:rFonts w:ascii="Times New Roman" w:eastAsia="Times New Roman" w:hAnsi="Times New Roman" w:cs="Times New Roman"/>
                <w:color w:val="000000" w:themeColor="text1"/>
                <w:sz w:val="28"/>
                <w:szCs w:val="28"/>
              </w:rPr>
              <w:t>Пермской городской общественной организации ветеранов (пенсионеров) войны, труда, Вооруженных сил и правоохранительных органов,  Общественной организации ветеранов (пенсионеров) войны, труда, Вооруженных Сил и правоохранительных органов Ленинского района г. Перми, Общественной организации ветеранов (пенсионеров) войны, труда, Вооруженных Сил и правоохранительных органов Свердловского района г. Перми, Общественной организации ветеранов (пенсионеров) войны, труда, Вооруженных Сил и правоохранительных органов Мотовилихинского района г. Перми, Общественной организации</w:t>
            </w:r>
            <w:proofErr w:type="gram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 xml:space="preserve">ветеранов (пенсионеров) войны, труда, Вооруженных Сил и правоохранительных органов Дзержинского </w:t>
            </w:r>
            <w:r w:rsidR="00332928">
              <w:rPr>
                <w:rFonts w:ascii="Times New Roman" w:eastAsia="Times New Roman" w:hAnsi="Times New Roman" w:cs="Times New Roman"/>
                <w:color w:val="000000" w:themeColor="text1"/>
                <w:sz w:val="28"/>
                <w:szCs w:val="28"/>
              </w:rPr>
              <w:t xml:space="preserve">района </w:t>
            </w:r>
            <w:r>
              <w:rPr>
                <w:rFonts w:ascii="Times New Roman" w:eastAsia="Times New Roman" w:hAnsi="Times New Roman" w:cs="Times New Roman"/>
                <w:color w:val="000000" w:themeColor="text1"/>
                <w:sz w:val="28"/>
                <w:szCs w:val="28"/>
              </w:rPr>
              <w:t xml:space="preserve">г. Перми, Общественной организации ветеранов (пенсионеров) войны, труда, Вооруженных сил и правоохранительных органов Индустриального района г. Перми, Общественной организации ветеранов войны, труда, вооруженных сил и правоохранительных органов Кировского района г. Перми, Общественной организации ветеранов </w:t>
            </w:r>
            <w:r>
              <w:rPr>
                <w:rFonts w:ascii="Times New Roman" w:eastAsia="Times New Roman" w:hAnsi="Times New Roman" w:cs="Times New Roman"/>
                <w:color w:val="000000" w:themeColor="text1"/>
                <w:sz w:val="28"/>
                <w:szCs w:val="28"/>
              </w:rPr>
              <w:lastRenderedPageBreak/>
              <w:t>(пенсионеров) войны, труда, Вооруженных сил и правоохранительных органов Орджоникидзевского района г. Перми, Общественной организации ветеранов</w:t>
            </w:r>
            <w:proofErr w:type="gramEnd"/>
            <w:r>
              <w:rPr>
                <w:rFonts w:ascii="Times New Roman" w:eastAsia="Times New Roman" w:hAnsi="Times New Roman" w:cs="Times New Roman"/>
                <w:color w:val="000000" w:themeColor="text1"/>
                <w:sz w:val="28"/>
                <w:szCs w:val="28"/>
              </w:rPr>
              <w:t xml:space="preserve"> (пенсионеров) войны, труда, вооруженных сил и правоохранительных органов администрации п. Н. Ляды г. Перми, на финансовое обеспечение затрат, связанных с осуществлением уставной деятельности, направленной на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w:t>
            </w:r>
          </w:p>
        </w:tc>
      </w:tr>
      <w:tr w:rsidR="00343C34">
        <w:tc>
          <w:tcPr>
            <w:tcW w:w="704" w:type="dxa"/>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lastRenderedPageBreak/>
              <w:t>2.5</w:t>
            </w:r>
          </w:p>
        </w:tc>
        <w:tc>
          <w:tcPr>
            <w:tcW w:w="9214" w:type="dxa"/>
          </w:tcPr>
          <w:p w:rsidR="00343C34" w:rsidRDefault="00063E19" w:rsidP="00D157A0">
            <w:pP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w:t>
            </w:r>
          </w:p>
        </w:tc>
      </w:tr>
      <w:tr w:rsidR="00343C34">
        <w:trPr>
          <w:trHeight w:val="236"/>
        </w:trPr>
        <w:tc>
          <w:tcPr>
            <w:tcW w:w="704" w:type="dxa"/>
            <w:vMerge w:val="restart"/>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2.6</w:t>
            </w:r>
          </w:p>
        </w:tc>
        <w:tc>
          <w:tcPr>
            <w:tcW w:w="9214" w:type="dxa"/>
            <w:vMerge w:val="restart"/>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bCs/>
                <w:i/>
                <w:color w:val="000000" w:themeColor="text1"/>
              </w:rPr>
            </w:pPr>
            <w:r>
              <w:rPr>
                <w:rFonts w:ascii="Times New Roman" w:eastAsia="Times New Roman" w:hAnsi="Times New Roman" w:cs="Times New Roman"/>
                <w:color w:val="000000" w:themeColor="text1"/>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343C34">
        <w:trPr>
          <w:trHeight w:val="433"/>
        </w:trPr>
        <w:tc>
          <w:tcPr>
            <w:tcW w:w="704" w:type="dxa"/>
            <w:vMerge w:val="restart"/>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2.7</w:t>
            </w:r>
          </w:p>
        </w:tc>
        <w:tc>
          <w:tcPr>
            <w:tcW w:w="9214" w:type="dxa"/>
            <w:vMerge w:val="restart"/>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eastAsia="Times New Roman" w:hAnsi="Times New Roman" w:cs="Times New Roman"/>
                <w:bCs/>
                <w:i/>
                <w:color w:val="000000" w:themeColor="text1"/>
                <w:sz w:val="19"/>
              </w:rPr>
            </w:pPr>
            <w:r>
              <w:rPr>
                <w:rFonts w:ascii="Times New Roman" w:eastAsia="Times New Roman" w:hAnsi="Times New Roman" w:cs="Times New Roman"/>
                <w:color w:val="000000" w:themeColor="text1"/>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2.8</w:t>
            </w:r>
          </w:p>
        </w:tc>
        <w:tc>
          <w:tcPr>
            <w:tcW w:w="9214" w:type="dxa"/>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343C34">
        <w:tc>
          <w:tcPr>
            <w:tcW w:w="704" w:type="dxa"/>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lastRenderedPageBreak/>
              <w:t>2.9</w:t>
            </w:r>
          </w:p>
        </w:tc>
        <w:tc>
          <w:tcPr>
            <w:tcW w:w="9214" w:type="dxa"/>
          </w:tcPr>
          <w:p w:rsidR="00343C34" w:rsidRDefault="00063E19" w:rsidP="00D157A0">
            <w:pP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2.10</w:t>
            </w:r>
          </w:p>
        </w:tc>
        <w:tc>
          <w:tcPr>
            <w:tcW w:w="9214" w:type="dxa"/>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343C34">
        <w:tc>
          <w:tcPr>
            <w:tcW w:w="704" w:type="dxa"/>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2.11</w:t>
            </w:r>
          </w:p>
        </w:tc>
        <w:tc>
          <w:tcPr>
            <w:tcW w:w="9214" w:type="dxa"/>
          </w:tcPr>
          <w:p w:rsidR="00343C34" w:rsidRDefault="00063E19" w:rsidP="00D157A0">
            <w:pPr>
              <w:spacing w:after="0" w:line="240" w:lineRule="atLeast"/>
              <w:jc w:val="both"/>
              <w:rPr>
                <w:rFonts w:ascii="Times New Roman" w:hAnsi="Times New Roman" w:cs="Times New Roman"/>
                <w:color w:val="000000" w:themeColor="text1"/>
              </w:rPr>
            </w:pPr>
            <w:proofErr w:type="gramStart"/>
            <w:r>
              <w:rPr>
                <w:rFonts w:ascii="Times New Roman" w:eastAsia="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территориальных общественных самоуправлений, по информированию населения города Перми о деятельности</w:t>
            </w:r>
            <w:r w:rsidR="000706D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направленной на сохранение и развитие традиций гражданственности и патриотизма, по проведению семинаров, круглых столов для органов территориальных общественных самоуправлений</w:t>
            </w:r>
            <w:proofErr w:type="gramEnd"/>
            <w:r>
              <w:rPr>
                <w:rFonts w:ascii="Times New Roman" w:eastAsia="Times New Roman" w:hAnsi="Times New Roman" w:cs="Times New Roman"/>
                <w:color w:val="000000" w:themeColor="text1"/>
                <w:sz w:val="28"/>
                <w:szCs w:val="28"/>
              </w:rPr>
              <w:t>, по проведению форумов, по проведению мероприятий, направленных на оказание информационно-методической, консультационной и ресурсной поддержки, на проведение мероприятий, приуроченных к Празднику Весны и Труда, а также на проведение культурно-массовых и спортивных мероприятий по месту жительства населения в рамках реализации мероприятий, направленных на решение вопросов местного значения в микрорайонах города Перми</w:t>
            </w:r>
          </w:p>
        </w:tc>
      </w:tr>
      <w:tr w:rsidR="00343C34">
        <w:tc>
          <w:tcPr>
            <w:tcW w:w="704" w:type="dxa"/>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2.12</w:t>
            </w:r>
          </w:p>
        </w:tc>
        <w:tc>
          <w:tcPr>
            <w:tcW w:w="9214" w:type="dxa"/>
          </w:tcPr>
          <w:p w:rsidR="00343C34" w:rsidRDefault="00063E19" w:rsidP="00D157A0">
            <w:pP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343C34">
        <w:trPr>
          <w:trHeight w:val="236"/>
        </w:trPr>
        <w:tc>
          <w:tcPr>
            <w:tcW w:w="704" w:type="dxa"/>
            <w:vMerge w:val="restart"/>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Cs/>
                <w:i/>
                <w:color w:val="000000" w:themeColor="text1"/>
                <w:sz w:val="19"/>
              </w:rPr>
            </w:pPr>
            <w:r>
              <w:rPr>
                <w:rFonts w:ascii="Times New Roman" w:eastAsia="Times New Roman" w:hAnsi="Times New Roman" w:cs="Times New Roman"/>
                <w:color w:val="000000" w:themeColor="text1"/>
                <w:sz w:val="28"/>
                <w:szCs w:val="28"/>
              </w:rPr>
              <w:t>2.13</w:t>
            </w:r>
          </w:p>
        </w:tc>
        <w:tc>
          <w:tcPr>
            <w:tcW w:w="9214" w:type="dxa"/>
            <w:vMerge w:val="restart"/>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bCs/>
                <w:i/>
                <w:color w:val="000000" w:themeColor="text1"/>
              </w:rPr>
            </w:pPr>
            <w:r>
              <w:rPr>
                <w:rFonts w:ascii="Times New Roman" w:eastAsia="Times New Roman" w:hAnsi="Times New Roman" w:cs="Times New Roman"/>
                <w:color w:val="000000" w:themeColor="text1"/>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семей, имеющих детей, из многодетных семей, среднедушевой доход которых ниже величины прожиточного минимума на душу населения, установленной в Пермском крае</w:t>
            </w:r>
          </w:p>
        </w:tc>
      </w:tr>
      <w:tr w:rsidR="00343C34">
        <w:trPr>
          <w:trHeight w:val="236"/>
        </w:trPr>
        <w:tc>
          <w:tcPr>
            <w:tcW w:w="704" w:type="dxa"/>
            <w:vMerge w:val="restart"/>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i/>
                <w:iCs/>
                <w:color w:val="000000" w:themeColor="text1"/>
                <w:sz w:val="19"/>
              </w:rPr>
            </w:pPr>
            <w:r>
              <w:rPr>
                <w:rFonts w:ascii="Times New Roman" w:eastAsia="Times New Roman" w:hAnsi="Times New Roman" w:cs="Times New Roman"/>
                <w:color w:val="000000" w:themeColor="text1"/>
                <w:sz w:val="28"/>
                <w:szCs w:val="28"/>
              </w:rPr>
              <w:t>2.14</w:t>
            </w:r>
          </w:p>
        </w:tc>
        <w:tc>
          <w:tcPr>
            <w:tcW w:w="9214" w:type="dxa"/>
            <w:vMerge w:val="restart"/>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bCs/>
                <w:i/>
                <w:color w:val="000000" w:themeColor="text1"/>
              </w:rPr>
            </w:pPr>
            <w:r>
              <w:rPr>
                <w:rFonts w:ascii="Times New Roman" w:eastAsia="Times New Roman" w:hAnsi="Times New Roman" w:cs="Times New Roman"/>
                <w:color w:val="000000" w:themeColor="text1"/>
                <w:sz w:val="28"/>
                <w:szCs w:val="28"/>
              </w:rPr>
              <w:t xml:space="preserve">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отдельным категориям учащихся в частных общеобразовательных </w:t>
            </w:r>
            <w:r>
              <w:rPr>
                <w:rFonts w:ascii="Times New Roman" w:eastAsia="Times New Roman" w:hAnsi="Times New Roman" w:cs="Times New Roman"/>
                <w:color w:val="000000" w:themeColor="text1"/>
                <w:sz w:val="28"/>
                <w:szCs w:val="28"/>
              </w:rPr>
              <w:lastRenderedPageBreak/>
              <w:t>организациях</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lastRenderedPageBreak/>
              <w:t>2.15</w:t>
            </w:r>
          </w:p>
        </w:tc>
        <w:tc>
          <w:tcPr>
            <w:tcW w:w="9214" w:type="dxa"/>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343C34">
        <w:tc>
          <w:tcPr>
            <w:tcW w:w="704" w:type="dxa"/>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2.16</w:t>
            </w:r>
          </w:p>
        </w:tc>
        <w:tc>
          <w:tcPr>
            <w:tcW w:w="9214" w:type="dxa"/>
          </w:tcPr>
          <w:p w:rsidR="00343C34" w:rsidRDefault="00063E19" w:rsidP="00D157A0">
            <w:pP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343C34">
        <w:trPr>
          <w:trHeight w:val="236"/>
        </w:trPr>
        <w:tc>
          <w:tcPr>
            <w:tcW w:w="704" w:type="dxa"/>
            <w:vMerge w:val="restart"/>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Cs/>
                <w:i/>
                <w:color w:val="000000" w:themeColor="text1"/>
                <w:sz w:val="19"/>
              </w:rPr>
            </w:pPr>
            <w:r>
              <w:rPr>
                <w:rFonts w:ascii="Times New Roman" w:eastAsia="Times New Roman" w:hAnsi="Times New Roman" w:cs="Times New Roman"/>
                <w:color w:val="000000" w:themeColor="text1"/>
                <w:sz w:val="28"/>
                <w:szCs w:val="28"/>
              </w:rPr>
              <w:t>2.17</w:t>
            </w:r>
          </w:p>
        </w:tc>
        <w:tc>
          <w:tcPr>
            <w:tcW w:w="9214" w:type="dxa"/>
            <w:vMerge w:val="restart"/>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bCs/>
                <w:i/>
                <w:color w:val="000000" w:themeColor="text1"/>
              </w:rPr>
            </w:pPr>
            <w:r>
              <w:rPr>
                <w:rFonts w:ascii="Times New Roman" w:eastAsia="Times New Roman" w:hAnsi="Times New Roman" w:cs="Times New Roman"/>
                <w:color w:val="000000" w:themeColor="text1"/>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двухразового питания обучающихся с ограниченными возможностями здоровья</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2.18</w:t>
            </w:r>
          </w:p>
        </w:tc>
        <w:tc>
          <w:tcPr>
            <w:tcW w:w="9214" w:type="dxa"/>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2.19</w:t>
            </w:r>
          </w:p>
        </w:tc>
        <w:tc>
          <w:tcPr>
            <w:tcW w:w="9214" w:type="dxa"/>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2.20</w:t>
            </w:r>
          </w:p>
        </w:tc>
        <w:tc>
          <w:tcPr>
            <w:tcW w:w="9214" w:type="dxa"/>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343C34">
        <w:tc>
          <w:tcPr>
            <w:tcW w:w="704" w:type="dxa"/>
          </w:tcPr>
          <w:p w:rsidR="00343C34" w:rsidRDefault="00063E19">
            <w:pPr>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2.21</w:t>
            </w:r>
          </w:p>
        </w:tc>
        <w:tc>
          <w:tcPr>
            <w:tcW w:w="9214" w:type="dxa"/>
          </w:tcPr>
          <w:p w:rsidR="00343C34" w:rsidRDefault="00063E19" w:rsidP="00D157A0">
            <w:pP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rsidR="00343C34">
        <w:trPr>
          <w:trHeight w:val="236"/>
        </w:trPr>
        <w:tc>
          <w:tcPr>
            <w:tcW w:w="704" w:type="dxa"/>
            <w:vMerge w:val="restart"/>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themeColor="text1"/>
                <w:sz w:val="19"/>
                <w:highlight w:val="white"/>
              </w:rPr>
            </w:pPr>
            <w:r>
              <w:rPr>
                <w:rFonts w:ascii="Times New Roman" w:eastAsia="Times New Roman" w:hAnsi="Times New Roman" w:cs="Times New Roman"/>
                <w:color w:val="000000" w:themeColor="text1"/>
                <w:sz w:val="28"/>
                <w:szCs w:val="28"/>
              </w:rPr>
              <w:lastRenderedPageBreak/>
              <w:t>2.22</w:t>
            </w:r>
          </w:p>
        </w:tc>
        <w:tc>
          <w:tcPr>
            <w:tcW w:w="9214" w:type="dxa"/>
            <w:vMerge w:val="restart"/>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eastAsia="Times New Roman" w:hAnsi="Times New Roman" w:cs="Times New Roman"/>
                <w:color w:val="000000" w:themeColor="text1"/>
                <w:sz w:val="19"/>
                <w:highlight w:val="white"/>
              </w:rPr>
            </w:pPr>
            <w:r>
              <w:rPr>
                <w:rFonts w:ascii="Times New Roman" w:eastAsia="Times New Roman" w:hAnsi="Times New Roman" w:cs="Times New Roman"/>
                <w:color w:val="000000" w:themeColor="text1"/>
                <w:sz w:val="28"/>
                <w:szCs w:val="28"/>
                <w:highlight w:val="white"/>
              </w:rPr>
              <w:t>некоммерческим организациям (за исключением государственных (муниципальных) учреждений) на финансовое обеспечение затрат, связанных с проведением мероприятий по профилактике семейного и бытового насилия</w:t>
            </w:r>
          </w:p>
        </w:tc>
      </w:tr>
      <w:tr w:rsidR="004076DB">
        <w:trPr>
          <w:trHeight w:val="236"/>
        </w:trPr>
        <w:tc>
          <w:tcPr>
            <w:tcW w:w="704" w:type="dxa"/>
          </w:tcPr>
          <w:p w:rsidR="004076DB" w:rsidRDefault="004076DB">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w:t>
            </w:r>
          </w:p>
        </w:tc>
        <w:tc>
          <w:tcPr>
            <w:tcW w:w="9214" w:type="dxa"/>
          </w:tcPr>
          <w:p w:rsidR="004076DB" w:rsidRPr="004076DB" w:rsidRDefault="004076DB"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eastAsia="Times New Roman" w:hAnsi="Times New Roman" w:cs="Times New Roman"/>
                <w:color w:val="000000" w:themeColor="text1"/>
                <w:sz w:val="28"/>
                <w:szCs w:val="28"/>
                <w:highlight w:val="white"/>
              </w:rPr>
            </w:pPr>
            <w:r w:rsidRPr="004076DB">
              <w:rPr>
                <w:rFonts w:ascii="Times New Roman" w:hAnsi="Times New Roman" w:cs="Times New Roman"/>
                <w:color w:val="000000"/>
                <w:sz w:val="28"/>
              </w:rPr>
              <w:t>физкультурно-спортивным клубам по месту жительства в целях возмещения затрат на оказание содействия, связанных с осуществлением физкультурной  деятельности</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3</w:t>
            </w:r>
          </w:p>
        </w:tc>
        <w:tc>
          <w:tcPr>
            <w:tcW w:w="9214" w:type="dxa"/>
          </w:tcPr>
          <w:p w:rsidR="00343C34" w:rsidRDefault="00063E19" w:rsidP="00D157A0">
            <w:pPr>
              <w:pBdr>
                <w:top w:val="none" w:sz="4" w:space="0" w:color="000000"/>
                <w:left w:val="none" w:sz="4" w:space="0" w:color="000000"/>
                <w:bottom w:val="none" w:sz="4" w:space="0" w:color="000000"/>
                <w:right w:val="none" w:sz="4" w:space="0" w:color="000000"/>
              </w:pBdr>
              <w:spacing w:after="0" w:line="240" w:lineRule="atLeast"/>
              <w:jc w:val="both"/>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Гранты в форме субсидий некоммерческим организациям, не являющимся казенными учреждениями:</w:t>
            </w:r>
          </w:p>
        </w:tc>
      </w:tr>
      <w:tr w:rsidR="00343C34">
        <w:tc>
          <w:tcPr>
            <w:tcW w:w="704" w:type="dxa"/>
          </w:tcPr>
          <w:p w:rsidR="00343C34" w:rsidRDefault="00063E19">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themeColor="text1"/>
                <w:sz w:val="19"/>
              </w:rPr>
            </w:pPr>
            <w:r>
              <w:rPr>
                <w:rFonts w:ascii="Times New Roman" w:eastAsia="Times New Roman" w:hAnsi="Times New Roman" w:cs="Times New Roman"/>
                <w:color w:val="000000" w:themeColor="text1"/>
                <w:sz w:val="28"/>
                <w:szCs w:val="28"/>
              </w:rPr>
              <w:t>3.1</w:t>
            </w:r>
          </w:p>
        </w:tc>
        <w:tc>
          <w:tcPr>
            <w:tcW w:w="9214" w:type="dxa"/>
          </w:tcPr>
          <w:p w:rsidR="00343C34" w:rsidRDefault="00063E19" w:rsidP="00D157A0">
            <w:pPr>
              <w:spacing w:after="0" w:line="240" w:lineRule="atLeast"/>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rPr>
              <w:t>некоммерческим организациям, не являющимся казенными учреждениями, в том числе общественным объединениям, территориальным общественным самоуправлениям, муниципальным бюджетным и автономным учреждениям, зарегистрированным в качестве юридического лица на территории города Перми и планирующим реализацию мероприятий проекта на территории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r w:rsidR="00343C34">
        <w:tc>
          <w:tcPr>
            <w:tcW w:w="704" w:type="dxa"/>
          </w:tcPr>
          <w:p w:rsidR="00343C34" w:rsidRDefault="00063E19">
            <w:pPr>
              <w:pStyle w:val="ConsPlusNormal0"/>
              <w:jc w:val="center"/>
              <w:rPr>
                <w:rFonts w:ascii="Times New Roman" w:hAnsi="Times New Roman" w:cs="Times New Roman"/>
                <w:color w:val="000000" w:themeColor="text1"/>
              </w:rPr>
            </w:pPr>
            <w:r>
              <w:rPr>
                <w:rFonts w:ascii="Times New Roman" w:eastAsia="Times New Roman" w:hAnsi="Times New Roman" w:cs="Times New Roman"/>
                <w:color w:val="000000" w:themeColor="text1"/>
                <w:sz w:val="28"/>
                <w:szCs w:val="28"/>
                <w:lang w:val="ru-RU"/>
              </w:rPr>
              <w:t>3.2</w:t>
            </w:r>
          </w:p>
        </w:tc>
        <w:tc>
          <w:tcPr>
            <w:tcW w:w="9214" w:type="dxa"/>
          </w:tcPr>
          <w:p w:rsidR="00343C34" w:rsidRPr="00E072CE" w:rsidRDefault="00063E19" w:rsidP="00D157A0">
            <w:pPr>
              <w:pStyle w:val="ConsPlusNormal0"/>
              <w:spacing w:line="240" w:lineRule="atLeast"/>
              <w:jc w:val="both"/>
              <w:rPr>
                <w:rFonts w:ascii="Times New Roman" w:hAnsi="Times New Roman" w:cs="Times New Roman"/>
                <w:color w:val="000000" w:themeColor="text1"/>
                <w:lang w:val="ru-RU"/>
              </w:rPr>
            </w:pPr>
            <w:r>
              <w:rPr>
                <w:rFonts w:ascii="Times New Roman" w:eastAsia="Times New Roman" w:hAnsi="Times New Roman" w:cs="Times New Roman"/>
                <w:color w:val="000000" w:themeColor="text1"/>
                <w:sz w:val="28"/>
                <w:szCs w:val="28"/>
                <w:lang w:val="ru-RU"/>
              </w:rPr>
              <w:t>государственному бюджетному учреждению «Институт территориального планирования» на финансовое обеспечение затрат, связанных с разработкой архитектурных и градостроительных концепций</w:t>
            </w:r>
          </w:p>
        </w:tc>
      </w:tr>
    </w:tbl>
    <w:p w:rsidR="00343C34" w:rsidRDefault="00343C34">
      <w:pPr>
        <w:rPr>
          <w:rFonts w:ascii="Times New Roman" w:hAnsi="Times New Roman" w:cs="Times New Roman"/>
          <w:color w:val="000000" w:themeColor="text1"/>
          <w:sz w:val="28"/>
          <w:szCs w:val="28"/>
        </w:rPr>
      </w:pPr>
    </w:p>
    <w:sectPr w:rsidR="00343C34">
      <w:headerReference w:type="default" r:id="rId7"/>
      <w:pgSz w:w="11906" w:h="16838"/>
      <w:pgMar w:top="1134" w:right="566"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C34" w:rsidRDefault="00063E19">
      <w:pPr>
        <w:spacing w:after="0" w:line="240" w:lineRule="auto"/>
      </w:pPr>
      <w:r>
        <w:separator/>
      </w:r>
    </w:p>
  </w:endnote>
  <w:endnote w:type="continuationSeparator" w:id="0">
    <w:p w:rsidR="00343C34" w:rsidRDefault="0006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C34" w:rsidRDefault="00063E19">
      <w:pPr>
        <w:spacing w:after="0" w:line="240" w:lineRule="auto"/>
      </w:pPr>
      <w:r>
        <w:separator/>
      </w:r>
    </w:p>
  </w:footnote>
  <w:footnote w:type="continuationSeparator" w:id="0">
    <w:p w:rsidR="00343C34" w:rsidRDefault="00063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030508"/>
      <w:docPartObj>
        <w:docPartGallery w:val="Page Numbers (Top of Page)"/>
        <w:docPartUnique/>
      </w:docPartObj>
    </w:sdtPr>
    <w:sdtEndPr/>
    <w:sdtContent>
      <w:p w:rsidR="00343C34" w:rsidRDefault="00063E19">
        <w:pPr>
          <w:pStyle w:val="af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A51FFA">
          <w:rPr>
            <w:rFonts w:ascii="Times New Roman" w:hAnsi="Times New Roman" w:cs="Times New Roman"/>
            <w:noProof/>
            <w:sz w:val="28"/>
            <w:szCs w:val="28"/>
          </w:rPr>
          <w:t>3</w:t>
        </w:r>
        <w:r>
          <w:rPr>
            <w:rFonts w:ascii="Times New Roman" w:hAnsi="Times New Roman" w:cs="Times New Roman"/>
            <w:sz w:val="28"/>
            <w:szCs w:val="28"/>
          </w:rPr>
          <w:fldChar w:fldCharType="end"/>
        </w:r>
      </w:p>
    </w:sdtContent>
  </w:sdt>
  <w:p w:rsidR="00343C34" w:rsidRDefault="00343C34">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JpsqhGh3GpYkto8hdj1EcR6OStU=" w:salt="j7iGXfs5F9nx1q+i0JcK6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34"/>
    <w:rsid w:val="0001640E"/>
    <w:rsid w:val="00063E19"/>
    <w:rsid w:val="000706DD"/>
    <w:rsid w:val="00077B0F"/>
    <w:rsid w:val="00131AA6"/>
    <w:rsid w:val="00332928"/>
    <w:rsid w:val="00343C34"/>
    <w:rsid w:val="00397FDA"/>
    <w:rsid w:val="003A1504"/>
    <w:rsid w:val="003C50B1"/>
    <w:rsid w:val="003D323E"/>
    <w:rsid w:val="004076DB"/>
    <w:rsid w:val="006D11AD"/>
    <w:rsid w:val="0085056B"/>
    <w:rsid w:val="00860F0C"/>
    <w:rsid w:val="008824A6"/>
    <w:rsid w:val="00960581"/>
    <w:rsid w:val="009A3966"/>
    <w:rsid w:val="00A51FFA"/>
    <w:rsid w:val="00AC29B5"/>
    <w:rsid w:val="00C3131B"/>
    <w:rsid w:val="00D157A0"/>
    <w:rsid w:val="00D379D4"/>
    <w:rsid w:val="00DC1C76"/>
    <w:rsid w:val="00E072CE"/>
    <w:rsid w:val="00F1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NewRoman" w:eastAsia="TimesNewRoman" w:hAnsi="TimesNewRoman" w:cs="TimesNewRoman"/>
      <w:sz w:val="24"/>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NewRoman" w:eastAsia="TimesNewRoman" w:hAnsi="TimesNewRoman" w:cs="TimesNew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2567</Words>
  <Characters>14638</Characters>
  <Application>Microsoft Office Word</Application>
  <DocSecurity>8</DocSecurity>
  <Lines>121</Lines>
  <Paragraphs>34</Paragraphs>
  <ScaleCrop>false</ScaleCrop>
  <Company>Департамент финансов администрации г.Перми</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Колышкина Елена Владимировна</cp:lastModifiedBy>
  <cp:revision>34</cp:revision>
  <cp:lastPrinted>2024-12-19T08:07:00Z</cp:lastPrinted>
  <dcterms:created xsi:type="dcterms:W3CDTF">2023-10-19T12:25:00Z</dcterms:created>
  <dcterms:modified xsi:type="dcterms:W3CDTF">2024-12-19T08:07:00Z</dcterms:modified>
</cp:coreProperties>
</file>