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2515" cy="516331"/>
                                        <wp:effectExtent l="0" t="0" r="0" b="0"/>
                                        <wp:docPr id="3" name="_x0000_i10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515" cy="5163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48pt;height:40.66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6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1305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7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2515" cy="516331"/>
                                  <wp:effectExtent l="0" t="0" r="0" b="0"/>
                                  <wp:docPr id="3" name="_x0000_i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515" cy="516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48pt;height:40.66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6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1305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6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1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размер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муниципального имущества, уплату </w:t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налогов на 202</w:t>
      </w:r>
      <w:r>
        <w:rPr>
          <w:b/>
        </w:rPr>
        <w:t xml:space="preserve">4</w:t>
      </w:r>
      <w:r>
        <w:rPr>
          <w:b/>
        </w:rPr>
        <w:t xml:space="preserve"> год и плановый </w:t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период 202</w:t>
      </w:r>
      <w:r>
        <w:rPr>
          <w:b/>
        </w:rPr>
        <w:t xml:space="preserve">5</w:t>
      </w:r>
      <w:r>
        <w:rPr>
          <w:b/>
        </w:rPr>
        <w:t xml:space="preserve"> и 202</w:t>
      </w:r>
      <w:r>
        <w:rPr>
          <w:b/>
        </w:rPr>
        <w:t xml:space="preserve">6</w:t>
      </w:r>
      <w:r>
        <w:rPr>
          <w:b/>
        </w:rPr>
        <w:t xml:space="preserve"> годов, утвержденный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61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1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</w:t>
      </w: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.10.202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1099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«</w:t>
      </w:r>
      <w:r>
        <w:rPr>
          <w:b/>
        </w:rPr>
        <w:t xml:space="preserve">Об утверждении размера нормативных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затрат на оказание муниципальных услуг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«</w:t>
      </w:r>
      <w:r>
        <w:rPr>
          <w:b/>
        </w:rPr>
        <w:t xml:space="preserve">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образовательных программ спортивной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подготовки по олимпийским видам спорта</w:t>
      </w:r>
      <w:r>
        <w:rPr>
          <w:b/>
        </w:rPr>
        <w:t xml:space="preserve">»</w:t>
      </w:r>
      <w:r>
        <w:rPr>
          <w:b/>
        </w:rPr>
        <w:t xml:space="preserve">,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«</w:t>
      </w:r>
      <w:r>
        <w:rPr>
          <w:b/>
        </w:rPr>
        <w:t xml:space="preserve">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образовательных программ спортивной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подготовки по неолимпийским видам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спорта</w:t>
      </w:r>
      <w:r>
        <w:rPr>
          <w:b/>
        </w:rPr>
        <w:t xml:space="preserve">»</w:t>
      </w:r>
      <w:r>
        <w:rPr>
          <w:b/>
        </w:rPr>
        <w:t xml:space="preserve"> на 202</w:t>
      </w:r>
      <w:r>
        <w:rPr>
          <w:b/>
        </w:rPr>
        <w:t xml:space="preserve">4</w:t>
      </w:r>
      <w:r>
        <w:rPr>
          <w:b/>
        </w:rPr>
        <w:t xml:space="preserve"> год и плановый период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202</w:t>
      </w:r>
      <w:r>
        <w:rPr>
          <w:b/>
        </w:rPr>
        <w:t xml:space="preserve">5</w:t>
      </w:r>
      <w:r>
        <w:rPr>
          <w:b/>
        </w:rPr>
        <w:t xml:space="preserve"> и 202</w:t>
      </w:r>
      <w:r>
        <w:rPr>
          <w:b/>
        </w:rPr>
        <w:t xml:space="preserve">6</w:t>
      </w:r>
      <w:r>
        <w:rPr>
          <w:b/>
        </w:rPr>
        <w:t xml:space="preserve"> годов, значений отраслевых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корректирующих коэффициентов, размера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муниципального имущества, уплату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налогов на 202</w:t>
      </w:r>
      <w:r>
        <w:rPr>
          <w:b/>
        </w:rPr>
        <w:t xml:space="preserve">4</w:t>
      </w:r>
      <w:r>
        <w:rPr>
          <w:b/>
        </w:rPr>
        <w:t xml:space="preserve"> год и плановый период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202</w:t>
      </w:r>
      <w:r>
        <w:rPr>
          <w:b/>
        </w:rPr>
        <w:t xml:space="preserve">5</w:t>
      </w:r>
      <w:r>
        <w:rPr>
          <w:b/>
        </w:rPr>
        <w:t xml:space="preserve"> и 202</w:t>
      </w:r>
      <w:r>
        <w:rPr>
          <w:b/>
        </w:rPr>
        <w:t xml:space="preserve">6</w:t>
      </w:r>
      <w:r>
        <w:rPr>
          <w:b/>
        </w:rPr>
        <w:t xml:space="preserve"> годов и значений натуральных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норм, используемых при определении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базовых нормативов затрат на оказание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муниципальных услуг </w:t>
      </w:r>
      <w:r>
        <w:rPr>
          <w:b/>
        </w:rPr>
        <w:t xml:space="preserve">«</w:t>
      </w:r>
      <w:r>
        <w:rPr>
          <w:b/>
        </w:rPr>
        <w:t xml:space="preserve">Реализация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дополнительных образовательных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программ спортивной подготовки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по олимпийским видам спорта</w:t>
      </w:r>
      <w:r>
        <w:rPr>
          <w:b/>
        </w:rPr>
        <w:t xml:space="preserve">»</w:t>
      </w:r>
      <w:r>
        <w:rPr>
          <w:b/>
        </w:rPr>
        <w:t xml:space="preserve">,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«</w:t>
      </w:r>
      <w:r>
        <w:rPr>
          <w:b/>
        </w:rPr>
        <w:t xml:space="preserve">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образовательных программ спортивной </w:t>
      </w:r>
      <w:r>
        <w:rPr>
          <w:b/>
        </w:rPr>
      </w:r>
      <w:r>
        <w:rPr>
          <w:b/>
        </w:rPr>
      </w:r>
    </w:p>
    <w:p>
      <w:pPr>
        <w:pStyle w:val="695"/>
        <w:spacing w:line="240" w:lineRule="exact"/>
        <w:rPr>
          <w:b/>
        </w:rPr>
      </w:pPr>
      <w:r>
        <w:rPr>
          <w:b/>
        </w:rPr>
        <w:t xml:space="preserve">подготовки по неолимпийским видам спорта</w:t>
      </w:r>
      <w:r>
        <w:rPr>
          <w:b/>
        </w:rPr>
        <w:t xml:space="preserve">»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6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HYPERLINK "https://login.consultant.ru/link/?req=doc&amp;base=LAW&amp;n=389332&amp;dst=3601&amp;field=134&amp;date=01.10.2021"</w:instrText>
      </w:r>
      <w:r>
        <w:fldChar w:fldCharType="separate"/>
      </w:r>
      <w:r>
        <w:rPr>
          <w:sz w:val="28"/>
          <w:szCs w:val="28"/>
        </w:rPr>
        <w:t xml:space="preserve">статьей 69.2</w:t>
      </w:r>
      <w:r>
        <w:fldChar w:fldCharType="end"/>
      </w:r>
      <w:r>
        <w:rPr>
          <w:sz w:val="28"/>
          <w:szCs w:val="28"/>
        </w:rPr>
        <w:t xml:space="preserve"> Бюджетного кодекса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рации, </w:t>
      </w:r>
      <w:r>
        <w:fldChar w:fldCharType="begin"/>
      </w:r>
      <w:r>
        <w:instrText xml:space="preserve">HYPERLINK "https://login.consultant.ru/link/?req=doc&amp;base=RLAW368&amp;n=154126&amp;dst=76&amp;field=134&amp;date=01.10.2021"</w:instrText>
      </w:r>
      <w:r>
        <w:fldChar w:fldCharType="separate"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fldChar w:fldCharType="end"/>
      </w:r>
      <w:r>
        <w:rPr>
          <w:sz w:val="28"/>
          <w:szCs w:val="28"/>
        </w:rPr>
        <w:t xml:space="preserve"> администрации города Перми от 30 ноября 2007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502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</w:t>
      </w:r>
      <w:r>
        <w:rPr>
          <w:sz w:val="28"/>
          <w:szCs w:val="28"/>
        </w:rPr>
        <w:t xml:space="preserve">рядке формирования, размещения, финансового обеспечения и контроля выполнения муниципального задания на оказание муниципальных услуг (выпо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нение работ)», в целях актуализации правовых актов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рации города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Перми 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66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размер нормативных затрат на содержание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имущества, уплату налогов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годов, утвержденный постановлением администрации города Перми от 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октя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1099</w:t>
      </w:r>
      <w:r>
        <w:rPr>
          <w:sz w:val="28"/>
          <w:szCs w:val="28"/>
        </w:rPr>
        <w:t xml:space="preserve"> «Об утверждении размера нормативных затрат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оказание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услуг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дополнительных образовательных программ спортивной подготовки по олимпийским видам спорта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дополнительных образовательных программ спортивной подготовки по неоли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пийским видам спорта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годов, знач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отра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левых корректирующих коэффициентов, размера нормативных затрат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содержание муниципального имущества, уплату налогов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план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вый пер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 и значений натуральных норм, используемых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определении базовых нормативов затрат на оказание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дополнительных образовательных программ спортивной подготовки по олимпи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ским видам спорта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дополнительных образовательных программ спортивной подготовки по неолимпийским видам спорта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(в ред. от </w:t>
      </w:r>
      <w:r>
        <w:rPr>
          <w:sz w:val="28"/>
          <w:szCs w:val="28"/>
        </w:rPr>
        <w:t xml:space="preserve">07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344</w:t>
      </w:r>
      <w:r>
        <w:rPr>
          <w:sz w:val="28"/>
          <w:szCs w:val="28"/>
        </w:rPr>
        <w:t xml:space="preserve">, от 14.06.2024 № 491</w:t>
      </w:r>
      <w:r>
        <w:rPr>
          <w:sz w:val="28"/>
          <w:szCs w:val="28"/>
        </w:rPr>
        <w:t xml:space="preserve">, от 21.06.2024 № 524</w:t>
      </w:r>
      <w:r>
        <w:rPr>
          <w:sz w:val="28"/>
          <w:szCs w:val="28"/>
        </w:rPr>
        <w:t xml:space="preserve">, </w:t>
        <w:br w:type="textWrapping" w:clear="all"/>
        <w:t xml:space="preserve">от 13.08.2024 № 644</w:t>
      </w:r>
      <w:r>
        <w:rPr>
          <w:sz w:val="28"/>
          <w:szCs w:val="28"/>
        </w:rPr>
        <w:t xml:space="preserve">, от 08.10.2024 № 855, от 04.12.2024 № 1175, от 18.12.2024 </w:t>
        <w:br w:type="textWrapping" w:clear="all"/>
        <w:t xml:space="preserve">№ 1253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изложив в редакции согласно приложению к настоящему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 и действует по 31 декабря 2024 г.</w:t>
      </w:r>
      <w:r>
        <w:rPr>
          <w:sz w:val="28"/>
          <w:szCs w:val="28"/>
        </w:rPr>
      </w:r>
    </w:p>
    <w:p>
      <w:pPr>
        <w:pStyle w:val="66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www.gorodperm.ru».</w:t>
      </w:r>
      <w:r>
        <w:rPr>
          <w:sz w:val="28"/>
          <w:szCs w:val="28"/>
        </w:rPr>
      </w:r>
    </w:p>
    <w:p>
      <w:pPr>
        <w:pStyle w:val="66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both"/>
        <w:spacing w:line="240" w:lineRule="exac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</w:t>
        <w:tab/>
        <w:tab/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Соснин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61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</w:r>
    </w:p>
    <w:p>
      <w:pPr>
        <w:pStyle w:val="661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27.12.2024 № 1305</w:t>
      </w:r>
      <w:r>
        <w:rPr>
          <w:sz w:val="28"/>
          <w:szCs w:val="28"/>
        </w:rPr>
      </w:r>
    </w:p>
    <w:p>
      <w:pPr>
        <w:pStyle w:val="66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содержание муниципального имущества, </w:t>
        <w:br w:type="textWrapping" w:clear="all"/>
        <w:t xml:space="preserve">уплату налогов на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1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2"/>
        <w:gridCol w:w="4451"/>
        <w:gridCol w:w="1734"/>
        <w:gridCol w:w="1734"/>
        <w:gridCol w:w="1734"/>
      </w:tblGrid>
      <w:tr>
        <w:tblPrEx/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5" w:type="pct"/>
            <w:vAlign w:val="top"/>
            <w:vMerge w:val="restart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pct"/>
            <w:vAlign w:val="top"/>
            <w:vMerge w:val="restart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Направление расходов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Размер, руб.</w:t>
            </w:r>
            <w:r/>
          </w:p>
        </w:tc>
      </w:tr>
      <w:tr>
        <w:tblPrEx/>
        <w:trPr>
          <w:trHeight w:val="17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" w:type="pct"/>
            <w:vAlign w:val="top"/>
            <w:vMerge w:val="continue"/>
            <w:textDirection w:val="lrTb"/>
            <w:noWrap w:val="false"/>
          </w:tcPr>
          <w:p>
            <w:pPr>
              <w:pStyle w:val="697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pct"/>
            <w:vAlign w:val="top"/>
            <w:vMerge w:val="continue"/>
            <w:textDirection w:val="lrTb"/>
            <w:noWrap w:val="false"/>
          </w:tcPr>
          <w:p>
            <w:pPr>
              <w:pStyle w:val="697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2026 год</w:t>
            </w:r>
            <w:r/>
          </w:p>
        </w:tc>
      </w:tr>
      <w:tr>
        <w:tblPrEx/>
        <w:trPr>
          <w:trHeight w:val="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pct"/>
            <w:vAlign w:val="top"/>
            <w:textDirection w:val="lrTb"/>
            <w:noWrap w:val="false"/>
          </w:tcPr>
          <w:p>
            <w:pPr>
              <w:pStyle w:val="697"/>
            </w:pPr>
            <w:r>
              <w:t xml:space="preserve">Нормативные затраты на содерж</w:t>
            </w:r>
            <w:r>
              <w:t xml:space="preserve">а</w:t>
            </w:r>
            <w:r>
              <w:t xml:space="preserve">ние используемого муниципальн</w:t>
            </w:r>
            <w:r>
              <w:t xml:space="preserve">о</w:t>
            </w:r>
            <w:r>
              <w:t xml:space="preserve">го имущ</w:t>
            </w:r>
            <w:r>
              <w:t xml:space="preserve">е</w:t>
            </w:r>
            <w:r>
              <w:t xml:space="preserve">ства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94 095 097,17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80 626 450,05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96 855 092,05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6" w:type="pct"/>
            <w:vAlign w:val="top"/>
            <w:textDirection w:val="lrTb"/>
            <w:noWrap w:val="false"/>
          </w:tcPr>
          <w:p>
            <w:pPr>
              <w:pStyle w:val="697"/>
            </w:pPr>
            <w:r>
              <w:t xml:space="preserve">Затраты на уплату налогов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2</w:t>
            </w:r>
            <w:r>
              <w:t xml:space="preserve">0</w:t>
            </w:r>
            <w:r>
              <w:t xml:space="preserve"> </w:t>
            </w:r>
            <w:r>
              <w:t xml:space="preserve">455</w:t>
            </w:r>
            <w:r>
              <w:t xml:space="preserve"> </w:t>
            </w:r>
            <w:r>
              <w:t xml:space="preserve">762</w:t>
            </w:r>
            <w:r>
              <w:t xml:space="preserve">,</w:t>
            </w:r>
            <w:r>
              <w:t xml:space="preserve">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21 260 518,32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pct"/>
            <w:vAlign w:val="top"/>
            <w:textDirection w:val="lrTb"/>
            <w:noWrap w:val="false"/>
          </w:tcPr>
          <w:p>
            <w:pPr>
              <w:pStyle w:val="697"/>
              <w:jc w:val="center"/>
            </w:pPr>
            <w:r>
              <w:t xml:space="preserve">21 260 518,32</w:t>
            </w:r>
            <w:r/>
          </w:p>
        </w:tc>
      </w:tr>
    </w:tbl>
    <w:sectPr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mbria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5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2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08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9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64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1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23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5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7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9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1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3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5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7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7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4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next w:val="661"/>
    <w:link w:val="661"/>
    <w:qFormat/>
    <w:rPr>
      <w:lang w:val="ru-RU" w:eastAsia="ru-RU" w:bidi="ar-SA"/>
    </w:rPr>
  </w:style>
  <w:style w:type="paragraph" w:styleId="662">
    <w:name w:val="Заголовок 1"/>
    <w:basedOn w:val="661"/>
    <w:next w:val="661"/>
    <w:link w:val="661"/>
    <w:qFormat/>
    <w:pPr>
      <w:ind w:right="-1" w:firstLine="709"/>
      <w:jc w:val="both"/>
      <w:keepNext/>
      <w:outlineLvl w:val="0"/>
    </w:pPr>
    <w:rPr>
      <w:sz w:val="24"/>
    </w:rPr>
  </w:style>
  <w:style w:type="paragraph" w:styleId="663">
    <w:name w:val="Заголовок 2"/>
    <w:basedOn w:val="661"/>
    <w:next w:val="661"/>
    <w:link w:val="661"/>
    <w:qFormat/>
    <w:pPr>
      <w:ind w:right="-1"/>
      <w:jc w:val="both"/>
      <w:keepNext/>
      <w:outlineLvl w:val="1"/>
    </w:pPr>
    <w:rPr>
      <w:sz w:val="24"/>
    </w:rPr>
  </w:style>
  <w:style w:type="character" w:styleId="664">
    <w:name w:val="Основной шрифт абзаца"/>
    <w:next w:val="664"/>
    <w:link w:val="661"/>
    <w:uiPriority w:val="1"/>
    <w:unhideWhenUsed/>
  </w:style>
  <w:style w:type="table" w:styleId="665">
    <w:name w:val="Обычная таблица"/>
    <w:next w:val="665"/>
    <w:link w:val="661"/>
    <w:uiPriority w:val="99"/>
    <w:semiHidden/>
    <w:unhideWhenUsed/>
    <w:qFormat/>
    <w:tblPr/>
  </w:style>
  <w:style w:type="numbering" w:styleId="666">
    <w:name w:val="Нет списка"/>
    <w:next w:val="666"/>
    <w:link w:val="661"/>
    <w:uiPriority w:val="99"/>
    <w:semiHidden/>
    <w:unhideWhenUsed/>
  </w:style>
  <w:style w:type="paragraph" w:styleId="667">
    <w:name w:val="Название объекта"/>
    <w:basedOn w:val="661"/>
    <w:next w:val="661"/>
    <w:link w:val="66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8">
    <w:name w:val="Основной текст"/>
    <w:basedOn w:val="661"/>
    <w:next w:val="668"/>
    <w:link w:val="696"/>
    <w:pPr>
      <w:ind w:right="3117"/>
    </w:pPr>
    <w:rPr>
      <w:rFonts w:ascii="Courier New" w:hAnsi="Courier New"/>
      <w:sz w:val="26"/>
      <w:lang w:val="en-US" w:eastAsia="en-US"/>
    </w:rPr>
  </w:style>
  <w:style w:type="paragraph" w:styleId="669">
    <w:name w:val="Основной текст с отступом"/>
    <w:basedOn w:val="661"/>
    <w:next w:val="669"/>
    <w:link w:val="661"/>
    <w:pPr>
      <w:ind w:right="-1"/>
      <w:jc w:val="both"/>
    </w:pPr>
    <w:rPr>
      <w:sz w:val="26"/>
    </w:rPr>
  </w:style>
  <w:style w:type="paragraph" w:styleId="670">
    <w:name w:val="Нижний колонтитул"/>
    <w:basedOn w:val="661"/>
    <w:next w:val="670"/>
    <w:link w:val="755"/>
    <w:uiPriority w:val="99"/>
    <w:pPr>
      <w:tabs>
        <w:tab w:val="center" w:pos="4153" w:leader="none"/>
        <w:tab w:val="right" w:pos="8306" w:leader="none"/>
      </w:tabs>
    </w:pPr>
  </w:style>
  <w:style w:type="character" w:styleId="671">
    <w:name w:val="Номер страницы"/>
    <w:basedOn w:val="664"/>
    <w:next w:val="671"/>
    <w:link w:val="661"/>
  </w:style>
  <w:style w:type="paragraph" w:styleId="672">
    <w:name w:val="Верхний колонтитул"/>
    <w:basedOn w:val="661"/>
    <w:next w:val="672"/>
    <w:link w:val="675"/>
    <w:uiPriority w:val="99"/>
    <w:pPr>
      <w:tabs>
        <w:tab w:val="center" w:pos="4153" w:leader="none"/>
        <w:tab w:val="right" w:pos="8306" w:leader="none"/>
      </w:tabs>
    </w:pPr>
  </w:style>
  <w:style w:type="paragraph" w:styleId="673">
    <w:name w:val="Текст выноски"/>
    <w:basedOn w:val="661"/>
    <w:next w:val="673"/>
    <w:link w:val="674"/>
    <w:rPr>
      <w:rFonts w:ascii="Segoe UI" w:hAnsi="Segoe UI"/>
      <w:sz w:val="18"/>
      <w:szCs w:val="18"/>
      <w:lang w:val="en-US" w:eastAsia="en-US"/>
    </w:rPr>
  </w:style>
  <w:style w:type="character" w:styleId="674">
    <w:name w:val="Текст выноски Знак"/>
    <w:next w:val="674"/>
    <w:link w:val="673"/>
    <w:rPr>
      <w:rFonts w:ascii="Segoe UI" w:hAnsi="Segoe UI" w:cs="Segoe UI"/>
      <w:sz w:val="18"/>
      <w:szCs w:val="18"/>
    </w:rPr>
  </w:style>
  <w:style w:type="character" w:styleId="675">
    <w:name w:val="Верхний колонтитул Знак"/>
    <w:next w:val="675"/>
    <w:link w:val="672"/>
    <w:uiPriority w:val="99"/>
  </w:style>
  <w:style w:type="numbering" w:styleId="676">
    <w:name w:val="Нет списка1"/>
    <w:next w:val="666"/>
    <w:link w:val="661"/>
    <w:uiPriority w:val="99"/>
    <w:semiHidden/>
    <w:unhideWhenUsed/>
  </w:style>
  <w:style w:type="paragraph" w:styleId="677">
    <w:name w:val="Без интервала"/>
    <w:next w:val="677"/>
    <w:link w:val="66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78">
    <w:name w:val="Гиперссылка"/>
    <w:next w:val="678"/>
    <w:link w:val="661"/>
    <w:uiPriority w:val="99"/>
    <w:unhideWhenUsed/>
    <w:rPr>
      <w:color w:val="0000ff"/>
      <w:u w:val="single"/>
    </w:rPr>
  </w:style>
  <w:style w:type="character" w:styleId="679">
    <w:name w:val="Просмотренная гиперссылка"/>
    <w:next w:val="679"/>
    <w:link w:val="661"/>
    <w:uiPriority w:val="99"/>
    <w:unhideWhenUsed/>
    <w:rPr>
      <w:color w:val="800080"/>
      <w:u w:val="single"/>
    </w:rPr>
  </w:style>
  <w:style w:type="paragraph" w:styleId="680">
    <w:name w:val="xl65"/>
    <w:basedOn w:val="661"/>
    <w:next w:val="680"/>
    <w:link w:val="6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1">
    <w:name w:val="xl66"/>
    <w:basedOn w:val="661"/>
    <w:next w:val="681"/>
    <w:link w:val="6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2">
    <w:name w:val="xl67"/>
    <w:basedOn w:val="661"/>
    <w:next w:val="682"/>
    <w:link w:val="6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683">
    <w:name w:val="xl68"/>
    <w:basedOn w:val="661"/>
    <w:next w:val="683"/>
    <w:link w:val="6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84">
    <w:name w:val="xl69"/>
    <w:basedOn w:val="661"/>
    <w:next w:val="684"/>
    <w:link w:val="66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5">
    <w:name w:val="xl70"/>
    <w:basedOn w:val="661"/>
    <w:next w:val="685"/>
    <w:link w:val="6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86">
    <w:name w:val="xl71"/>
    <w:basedOn w:val="661"/>
    <w:next w:val="686"/>
    <w:link w:val="6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7">
    <w:name w:val="xl72"/>
    <w:basedOn w:val="661"/>
    <w:next w:val="687"/>
    <w:link w:val="66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8">
    <w:name w:val="xl73"/>
    <w:basedOn w:val="661"/>
    <w:next w:val="688"/>
    <w:link w:val="66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89">
    <w:name w:val="xl74"/>
    <w:basedOn w:val="661"/>
    <w:next w:val="689"/>
    <w:link w:val="6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0">
    <w:name w:val="xl75"/>
    <w:basedOn w:val="661"/>
    <w:next w:val="690"/>
    <w:link w:val="66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1">
    <w:name w:val="xl76"/>
    <w:basedOn w:val="661"/>
    <w:next w:val="691"/>
    <w:link w:val="6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2">
    <w:name w:val="xl77"/>
    <w:basedOn w:val="661"/>
    <w:next w:val="692"/>
    <w:link w:val="66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3">
    <w:name w:val="xl78"/>
    <w:basedOn w:val="661"/>
    <w:next w:val="693"/>
    <w:link w:val="66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4">
    <w:name w:val="xl79"/>
    <w:basedOn w:val="661"/>
    <w:next w:val="694"/>
    <w:link w:val="66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5">
    <w:name w:val="Форма"/>
    <w:next w:val="695"/>
    <w:link w:val="661"/>
    <w:rPr>
      <w:sz w:val="28"/>
      <w:szCs w:val="28"/>
      <w:lang w:val="ru-RU" w:eastAsia="ru-RU" w:bidi="ar-SA"/>
    </w:rPr>
  </w:style>
  <w:style w:type="character" w:styleId="696">
    <w:name w:val="Основной текст Знак"/>
    <w:next w:val="696"/>
    <w:link w:val="668"/>
    <w:rPr>
      <w:rFonts w:ascii="Courier New" w:hAnsi="Courier New"/>
      <w:sz w:val="26"/>
    </w:rPr>
  </w:style>
  <w:style w:type="paragraph" w:styleId="697">
    <w:name w:val="ConsPlusNormal"/>
    <w:next w:val="697"/>
    <w:link w:val="661"/>
    <w:rPr>
      <w:sz w:val="28"/>
      <w:szCs w:val="28"/>
      <w:lang w:val="ru-RU" w:eastAsia="ru-RU" w:bidi="ar-SA"/>
    </w:rPr>
  </w:style>
  <w:style w:type="numbering" w:styleId="698">
    <w:name w:val="Нет списка11"/>
    <w:next w:val="666"/>
    <w:link w:val="661"/>
    <w:uiPriority w:val="99"/>
    <w:semiHidden/>
    <w:unhideWhenUsed/>
  </w:style>
  <w:style w:type="numbering" w:styleId="699">
    <w:name w:val="Нет списка111"/>
    <w:next w:val="666"/>
    <w:link w:val="661"/>
    <w:uiPriority w:val="99"/>
    <w:semiHidden/>
    <w:unhideWhenUsed/>
  </w:style>
  <w:style w:type="paragraph" w:styleId="700">
    <w:name w:val="font5"/>
    <w:basedOn w:val="661"/>
    <w:next w:val="700"/>
    <w:link w:val="66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01">
    <w:name w:val="xl80"/>
    <w:basedOn w:val="661"/>
    <w:next w:val="701"/>
    <w:link w:val="66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02">
    <w:name w:val="xl81"/>
    <w:basedOn w:val="661"/>
    <w:next w:val="702"/>
    <w:link w:val="66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03">
    <w:name w:val="xl82"/>
    <w:basedOn w:val="661"/>
    <w:next w:val="703"/>
    <w:link w:val="66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04">
    <w:name w:val="Сетка таблицы"/>
    <w:basedOn w:val="665"/>
    <w:next w:val="704"/>
    <w:link w:val="661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705">
    <w:name w:val="xl83"/>
    <w:basedOn w:val="661"/>
    <w:next w:val="705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6">
    <w:name w:val="xl84"/>
    <w:basedOn w:val="661"/>
    <w:next w:val="706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7">
    <w:name w:val="xl85"/>
    <w:basedOn w:val="661"/>
    <w:next w:val="707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08">
    <w:name w:val="xl86"/>
    <w:basedOn w:val="661"/>
    <w:next w:val="708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09">
    <w:name w:val="xl87"/>
    <w:basedOn w:val="661"/>
    <w:next w:val="709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0">
    <w:name w:val="xl88"/>
    <w:basedOn w:val="661"/>
    <w:next w:val="710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1">
    <w:name w:val="xl89"/>
    <w:basedOn w:val="661"/>
    <w:next w:val="711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2">
    <w:name w:val="xl90"/>
    <w:basedOn w:val="661"/>
    <w:next w:val="712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3">
    <w:name w:val="xl91"/>
    <w:basedOn w:val="661"/>
    <w:next w:val="713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4">
    <w:name w:val="xl92"/>
    <w:basedOn w:val="661"/>
    <w:next w:val="714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5">
    <w:name w:val="xl93"/>
    <w:basedOn w:val="661"/>
    <w:next w:val="715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6">
    <w:name w:val="xl94"/>
    <w:basedOn w:val="661"/>
    <w:next w:val="716"/>
    <w:link w:val="66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7">
    <w:name w:val="xl95"/>
    <w:basedOn w:val="661"/>
    <w:next w:val="717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8">
    <w:name w:val="xl96"/>
    <w:basedOn w:val="661"/>
    <w:next w:val="718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9">
    <w:name w:val="xl97"/>
    <w:basedOn w:val="661"/>
    <w:next w:val="719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20">
    <w:name w:val="xl98"/>
    <w:basedOn w:val="661"/>
    <w:next w:val="720"/>
    <w:link w:val="66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21">
    <w:name w:val="xl99"/>
    <w:basedOn w:val="661"/>
    <w:next w:val="721"/>
    <w:link w:val="66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2">
    <w:name w:val="xl100"/>
    <w:basedOn w:val="661"/>
    <w:next w:val="722"/>
    <w:link w:val="6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3">
    <w:name w:val="xl101"/>
    <w:basedOn w:val="661"/>
    <w:next w:val="723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4">
    <w:name w:val="xl102"/>
    <w:basedOn w:val="661"/>
    <w:next w:val="724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5">
    <w:name w:val="xl103"/>
    <w:basedOn w:val="661"/>
    <w:next w:val="725"/>
    <w:link w:val="6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6">
    <w:name w:val="xl104"/>
    <w:basedOn w:val="661"/>
    <w:next w:val="726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7">
    <w:name w:val="xl105"/>
    <w:basedOn w:val="661"/>
    <w:next w:val="727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8">
    <w:name w:val="xl106"/>
    <w:basedOn w:val="661"/>
    <w:next w:val="728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29">
    <w:name w:val="xl107"/>
    <w:basedOn w:val="661"/>
    <w:next w:val="729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0">
    <w:name w:val="xl108"/>
    <w:basedOn w:val="661"/>
    <w:next w:val="730"/>
    <w:link w:val="6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1">
    <w:name w:val="xl109"/>
    <w:basedOn w:val="661"/>
    <w:next w:val="731"/>
    <w:link w:val="6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2">
    <w:name w:val="xl110"/>
    <w:basedOn w:val="661"/>
    <w:next w:val="732"/>
    <w:link w:val="6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3">
    <w:name w:val="xl111"/>
    <w:basedOn w:val="661"/>
    <w:next w:val="733"/>
    <w:link w:val="6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4">
    <w:name w:val="xl112"/>
    <w:basedOn w:val="661"/>
    <w:next w:val="734"/>
    <w:link w:val="66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35">
    <w:name w:val="xl113"/>
    <w:basedOn w:val="661"/>
    <w:next w:val="735"/>
    <w:link w:val="6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6">
    <w:name w:val="xl114"/>
    <w:basedOn w:val="661"/>
    <w:next w:val="736"/>
    <w:link w:val="6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7">
    <w:name w:val="xl115"/>
    <w:basedOn w:val="661"/>
    <w:next w:val="737"/>
    <w:link w:val="66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38">
    <w:name w:val="xl116"/>
    <w:basedOn w:val="661"/>
    <w:next w:val="738"/>
    <w:link w:val="6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9">
    <w:name w:val="xl117"/>
    <w:basedOn w:val="661"/>
    <w:next w:val="739"/>
    <w:link w:val="66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0">
    <w:name w:val="xl118"/>
    <w:basedOn w:val="661"/>
    <w:next w:val="740"/>
    <w:link w:val="6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1">
    <w:name w:val="xl119"/>
    <w:basedOn w:val="661"/>
    <w:next w:val="741"/>
    <w:link w:val="66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2">
    <w:name w:val="xl120"/>
    <w:basedOn w:val="661"/>
    <w:next w:val="742"/>
    <w:link w:val="66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3">
    <w:name w:val="xl121"/>
    <w:basedOn w:val="661"/>
    <w:next w:val="743"/>
    <w:link w:val="66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4">
    <w:name w:val="xl122"/>
    <w:basedOn w:val="661"/>
    <w:next w:val="744"/>
    <w:link w:val="66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5">
    <w:name w:val="xl123"/>
    <w:basedOn w:val="661"/>
    <w:next w:val="745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6">
    <w:name w:val="xl124"/>
    <w:basedOn w:val="661"/>
    <w:next w:val="746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7">
    <w:name w:val="xl125"/>
    <w:basedOn w:val="661"/>
    <w:next w:val="747"/>
    <w:link w:val="6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48">
    <w:name w:val="Нет списка2"/>
    <w:next w:val="666"/>
    <w:link w:val="661"/>
    <w:uiPriority w:val="99"/>
    <w:semiHidden/>
    <w:unhideWhenUsed/>
  </w:style>
  <w:style w:type="numbering" w:styleId="749">
    <w:name w:val="Нет списка3"/>
    <w:next w:val="666"/>
    <w:link w:val="661"/>
    <w:uiPriority w:val="99"/>
    <w:semiHidden/>
    <w:unhideWhenUsed/>
  </w:style>
  <w:style w:type="paragraph" w:styleId="750">
    <w:name w:val="font6"/>
    <w:basedOn w:val="661"/>
    <w:next w:val="750"/>
    <w:link w:val="66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1">
    <w:name w:val="font7"/>
    <w:basedOn w:val="661"/>
    <w:next w:val="751"/>
    <w:link w:val="66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2">
    <w:name w:val="font8"/>
    <w:basedOn w:val="661"/>
    <w:next w:val="752"/>
    <w:link w:val="66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53">
    <w:name w:val="Нет списка4"/>
    <w:next w:val="666"/>
    <w:link w:val="661"/>
    <w:uiPriority w:val="99"/>
    <w:semiHidden/>
    <w:unhideWhenUsed/>
  </w:style>
  <w:style w:type="paragraph" w:styleId="754">
    <w:name w:val="Абзац списка"/>
    <w:basedOn w:val="661"/>
    <w:next w:val="754"/>
    <w:link w:val="66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755">
    <w:name w:val="Нижний колонтитул Знак"/>
    <w:next w:val="755"/>
    <w:link w:val="670"/>
    <w:uiPriority w:val="99"/>
  </w:style>
  <w:style w:type="paragraph" w:styleId="756">
    <w:name w:val="Приложение"/>
    <w:basedOn w:val="668"/>
    <w:next w:val="756"/>
    <w:link w:val="661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4"/>
      <w:lang w:val="ru-RU" w:eastAsia="ru-RU"/>
    </w:rPr>
  </w:style>
  <w:style w:type="paragraph" w:styleId="757">
    <w:name w:val="Подпись на  бланке должностного лица"/>
    <w:basedOn w:val="661"/>
    <w:next w:val="668"/>
    <w:link w:val="661"/>
    <w:pPr>
      <w:ind w:left="7088"/>
      <w:spacing w:before="480" w:line="240" w:lineRule="exact"/>
    </w:pPr>
    <w:rPr>
      <w:sz w:val="24"/>
    </w:rPr>
  </w:style>
  <w:style w:type="paragraph" w:styleId="758">
    <w:name w:val="Подпись"/>
    <w:basedOn w:val="661"/>
    <w:next w:val="668"/>
    <w:link w:val="759"/>
    <w:pPr>
      <w:spacing w:before="480" w:line="240" w:lineRule="exact"/>
      <w:tabs>
        <w:tab w:val="left" w:pos="5103" w:leader="none"/>
        <w:tab w:val="right" w:pos="9639" w:leader="none"/>
      </w:tabs>
    </w:pPr>
    <w:rPr>
      <w:sz w:val="24"/>
      <w:lang w:val="en-US" w:eastAsia="en-US"/>
    </w:rPr>
  </w:style>
  <w:style w:type="character" w:styleId="759">
    <w:name w:val="Подпись Знак"/>
    <w:next w:val="759"/>
    <w:link w:val="758"/>
    <w:rPr>
      <w:sz w:val="24"/>
    </w:rPr>
  </w:style>
  <w:style w:type="paragraph" w:styleId="760">
    <w:name w:val="ConsPlusCell"/>
    <w:next w:val="760"/>
    <w:link w:val="661"/>
    <w:uiPriority w:val="99"/>
    <w:rPr>
      <w:rFonts w:eastAsia="Calibri"/>
      <w:sz w:val="28"/>
      <w:szCs w:val="28"/>
      <w:lang w:val="ru-RU" w:eastAsia="en-US" w:bidi="ar-SA"/>
    </w:rPr>
  </w:style>
  <w:style w:type="paragraph" w:styleId="761">
    <w:name w:val="ConsPlusTitle"/>
    <w:next w:val="761"/>
    <w:link w:val="661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762">
    <w:name w:val="Название"/>
    <w:basedOn w:val="661"/>
    <w:next w:val="661"/>
    <w:link w:val="763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63">
    <w:name w:val="Название Знак"/>
    <w:next w:val="763"/>
    <w:link w:val="762"/>
    <w:rPr>
      <w:rFonts w:ascii="Cambria" w:hAnsi="Cambria"/>
      <w:b/>
      <w:bCs/>
      <w:sz w:val="32"/>
      <w:szCs w:val="32"/>
    </w:rPr>
  </w:style>
  <w:style w:type="character" w:styleId="764">
    <w:name w:val="Выделение"/>
    <w:next w:val="764"/>
    <w:link w:val="661"/>
    <w:qFormat/>
    <w:rPr>
      <w:i/>
      <w:iCs/>
    </w:rPr>
  </w:style>
  <w:style w:type="character" w:styleId="1622" w:default="1">
    <w:name w:val="Default Paragraph Font"/>
    <w:uiPriority w:val="1"/>
    <w:semiHidden/>
    <w:unhideWhenUsed/>
  </w:style>
  <w:style w:type="numbering" w:styleId="1623" w:default="1">
    <w:name w:val="No List"/>
    <w:uiPriority w:val="99"/>
    <w:semiHidden/>
    <w:unhideWhenUsed/>
  </w:style>
  <w:style w:type="table" w:styleId="16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</cp:revision>
  <dcterms:created xsi:type="dcterms:W3CDTF">2024-12-26T08:07:00Z</dcterms:created>
  <dcterms:modified xsi:type="dcterms:W3CDTF">2024-12-27T05:41:48Z</dcterms:modified>
  <cp:version>983040</cp:version>
</cp:coreProperties>
</file>