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7"/>
        <w:ind w:right="0"/>
        <w:jc w:val="both"/>
        <w:rPr>
          <w:rFonts w:ascii="Times New Roman" w:hAnsi="Times New Roman"/>
          <w:sz w:val="24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C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87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2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C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87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</w:r>
    </w:p>
    <w:p>
      <w:pPr>
        <w:pStyle w:val="9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сети образовательных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города Перми»,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20.10.2021 № 923 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</w:t>
      </w:r>
      <w:r>
        <w:rPr>
          <w:sz w:val="28"/>
          <w:szCs w:val="28"/>
        </w:rPr>
        <w:t xml:space="preserve">истрации города Перми от 25 сентября 2013 г. № 781 </w:t>
      </w:r>
      <w:r>
        <w:rPr>
          <w:sz w:val="28"/>
          <w:szCs w:val="28"/>
        </w:rPr>
        <w:br/>
        <w:t xml:space="preserve">«Об утверждении Порядка принятия решений о разработке муниципальных программ, их формирования и реализации»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</w:t>
      </w:r>
      <w:r>
        <w:rPr>
          <w:sz w:val="28"/>
          <w:szCs w:val="28"/>
        </w:rPr>
        <w:t xml:space="preserve">рамму «Развитие сети образовательных организаций города Перми», утвержденную постановлением администрации города Перми от 20 октября 2021 г. № 923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30.12.2021 № 1271, от 25.02.2022 № 113, от 29.03.2022 № 237, от 13.05.2022 </w:t>
      </w:r>
      <w:r>
        <w:rPr>
          <w:sz w:val="28"/>
          <w:szCs w:val="28"/>
        </w:rPr>
        <w:br/>
        <w:t xml:space="preserve">№ 355, от 31.05.2022 </w:t>
      </w:r>
      <w:r>
        <w:rPr>
          <w:sz w:val="28"/>
          <w:szCs w:val="28"/>
        </w:rPr>
        <w:t xml:space="preserve">№ 421, от 19.08.2022 № 700, от 09.09.2022 № 777, </w:t>
      </w:r>
      <w:r>
        <w:rPr>
          <w:sz w:val="28"/>
          <w:szCs w:val="28"/>
        </w:rPr>
        <w:br/>
        <w:t xml:space="preserve">от 20.10.2022 № 1036, от 28.10.2022 № 1091, от 25.11.2022 № 1191, от 22.12.2022 № 1340, от 30.12.2022 № 1430, от 18.01.2023 № 26, от 30.01.2023 № 52, </w:t>
      </w:r>
      <w:r>
        <w:rPr>
          <w:sz w:val="28"/>
          <w:szCs w:val="28"/>
        </w:rPr>
        <w:br/>
        <w:t xml:space="preserve">от 07.02.2023 № 81, от 13.03.2023 № 192, от 24.03.2023 </w:t>
      </w:r>
      <w:r>
        <w:rPr>
          <w:sz w:val="28"/>
          <w:szCs w:val="28"/>
        </w:rPr>
        <w:t xml:space="preserve">№ 236, от 26.04.2023 </w:t>
      </w:r>
      <w:r>
        <w:rPr>
          <w:sz w:val="28"/>
          <w:szCs w:val="28"/>
        </w:rPr>
        <w:br/>
        <w:t xml:space="preserve">№ 340, от 30.06.2023 № 554, от 31.07.2023 № 652, от 25.08.2023 № 772, </w:t>
      </w:r>
      <w:r>
        <w:rPr>
          <w:sz w:val="28"/>
          <w:szCs w:val="28"/>
        </w:rPr>
        <w:br/>
        <w:t xml:space="preserve">от 20.09.2023 № 847, от 20.10.2023 № 1129, от 08.11.2023 № 1223, от 21.11.2023 </w:t>
      </w:r>
      <w:r>
        <w:rPr>
          <w:sz w:val="28"/>
          <w:szCs w:val="28"/>
        </w:rPr>
        <w:br/>
        <w:t xml:space="preserve">№ 1277, от 15.12.2023 № 1411, от 26.12.2023 № 1485, от 29.12.2023 № 1523, </w:t>
      </w:r>
      <w:r>
        <w:rPr>
          <w:sz w:val="28"/>
          <w:szCs w:val="28"/>
        </w:rPr>
        <w:br/>
        <w:t xml:space="preserve">от 06.02</w:t>
      </w:r>
      <w:r>
        <w:rPr>
          <w:sz w:val="28"/>
          <w:szCs w:val="28"/>
        </w:rPr>
        <w:t xml:space="preserve">.2024 № 73, от 15.02.2024 № 109, от 28.03.2024 № 226, от 25.04.2024 </w:t>
      </w:r>
      <w:r>
        <w:rPr>
          <w:sz w:val="28"/>
          <w:szCs w:val="28"/>
        </w:rPr>
        <w:br/>
        <w:t xml:space="preserve">№ 324, от 20.06.2024 № 515, от 19.07.2024 № 594, от 16.09.2024 № 764, </w:t>
      </w:r>
      <w:r>
        <w:rPr>
          <w:sz w:val="28"/>
          <w:szCs w:val="28"/>
        </w:rPr>
        <w:br/>
        <w:t xml:space="preserve">от 17.10.2024 № 950, от 07.11.2024 № 1078, от 11.12.2024 № 1219, от 24.12.2024 </w:t>
      </w:r>
      <w:r>
        <w:rPr>
          <w:sz w:val="28"/>
          <w:szCs w:val="28"/>
        </w:rPr>
        <w:br/>
        <w:t xml:space="preserve">№ 1281, от 27.12.2024 № 1304).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</w:t>
      </w:r>
      <w:r>
        <w:rPr>
          <w:sz w:val="28"/>
          <w:szCs w:val="28"/>
        </w:rPr>
        <w:t xml:space="preserve">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</w:t>
      </w:r>
      <w:r>
        <w:rPr>
          <w:sz w:val="28"/>
          <w:szCs w:val="28"/>
        </w:rPr>
        <w:br/>
        <w:t xml:space="preserve">и действует по 31 декабря 2024 г.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</w:t>
      </w:r>
      <w:r>
        <w:rPr>
          <w:sz w:val="28"/>
          <w:szCs w:val="28"/>
        </w:rPr>
        <w:t xml:space="preserve">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spacing w:before="720"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Column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</w:t>
      </w:r>
      <w:r>
        <w:rPr>
          <w:sz w:val="28"/>
          <w:szCs w:val="28"/>
        </w:rPr>
        <w:t xml:space="preserve">овлением администрации</w:t>
      </w:r>
      <w:r>
        <w:rPr>
          <w:sz w:val="28"/>
          <w:szCs w:val="28"/>
        </w:rPr>
      </w:r>
    </w:p>
    <w:p>
      <w:pPr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28.12.2024 № 1322</w:t>
      </w:r>
      <w:r>
        <w:rPr>
          <w:sz w:val="28"/>
          <w:szCs w:val="28"/>
        </w:rPr>
      </w:r>
    </w:p>
    <w:p>
      <w:pPr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сети образовательных организаций города Перми</w:t>
      </w:r>
      <w:r>
        <w:rPr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утвержденную постановлением администрации города Перми от 20 октября 2021 г. № 923</w:t>
      </w:r>
      <w:r>
        <w:rPr>
          <w:b/>
          <w:sz w:val="28"/>
          <w:szCs w:val="28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 разделе «</w:t>
      </w:r>
      <w:r>
        <w:rPr>
          <w:sz w:val="28"/>
        </w:rPr>
        <w:t xml:space="preserve">Паспорт муниципальной программы» строку 9 изложить в следующей редакции:</w:t>
      </w:r>
      <w:r>
        <w:rPr>
          <w:sz w:val="28"/>
        </w:rPr>
      </w:r>
    </w:p>
    <w:p>
      <w:pPr>
        <w:spacing w:line="14" w:lineRule="auto"/>
        <w:rPr>
          <w:rFonts w:eastAsia="Calibri"/>
          <w:sz w:val="2"/>
          <w:szCs w:val="2"/>
          <w:lang w:eastAsia="en-US"/>
        </w:rPr>
      </w:pP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67"/>
        <w:gridCol w:w="4455"/>
        <w:gridCol w:w="2228"/>
        <w:gridCol w:w="2004"/>
        <w:gridCol w:w="2077"/>
        <w:gridCol w:w="1857"/>
        <w:gridCol w:w="1781"/>
      </w:tblGrid>
      <w:tr>
        <w:tblPrEx/>
        <w:trPr/>
        <w:tc>
          <w:tcPr>
            <w:tcW w:w="221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программа, всего (тыс. руб.),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2 842 505,60270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6 138 375,68083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5 665 728,10630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4 014 794,33277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7 015 620,03020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803 600,64556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1 963 652,83410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1 922 218,381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3 050 671,918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4 126 036,134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26 760,72042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21 393,45443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12 405,77561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376 523,51456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852 591,30868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1 004 724,84030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353 702,37610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546 054,39620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110 557,72196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1 081 907,700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1 066 003,100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874 572,440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391 977,600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1 643 529,500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553 632,94144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2 234 734,98362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1 714 561,17220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218 442,43867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26 687,77523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1.1, всего (тыс. руб.),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516 108,735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74 422,98604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9 308,735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4 348,25979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506 800,000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70 074,72625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1.2, всего (тыс. руб.),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1 336 064,82770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4 907 257,87190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3 399 117,18795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2 513 350,47757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3 815 764,034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460 572,31556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1 152 023,97909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610 104,156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2 152 644,881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3 115 764,034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17 952,97514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21 393,45443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11 036,06561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87 278,79556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532 027,08101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680 644,15695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142 263,15790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110 557,72196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723 427,800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1 037 153,100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445 526,140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46 832,94144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2 164 660,25737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1 514 561,17220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218 442,43867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26 687,77523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1.3, всего (тыс. руб.),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990 332,040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1 156 694,82289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2 066 610,91835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1 501 443,85520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3 199 855,99620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333 719,595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807 280,59522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1 312 114,225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898 027,037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1 010 272,100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8 887,826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1 369,710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289 244,719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320 564,22767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324 080,68335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211 439,21820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546 054,39620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2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358 479,900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28 850,000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429 046,300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391 977,600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1 643 529,500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</w:rPr>
        <w:t xml:space="preserve">2.</w:t>
      </w:r>
      <w:r>
        <w:rPr>
          <w:sz w:val="28"/>
          <w:szCs w:val="28"/>
        </w:rPr>
        <w:t xml:space="preserve"> В разделе «Система программных мероприятий подпрограммы 1.2 «Обеспечение доступности общего </w:t>
      </w:r>
      <w:r>
        <w:rPr>
          <w:sz w:val="28"/>
          <w:szCs w:val="28"/>
        </w:rPr>
        <w:br/>
        <w:t xml:space="preserve">и дополнительного образования»</w:t>
      </w:r>
      <w:r>
        <w:rPr>
          <w:sz w:val="28"/>
          <w:szCs w:val="28"/>
        </w:rPr>
        <w:t xml:space="preserve"> муниципальной программы «Развитие сети образовательных организаций города Перми»: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строку </w:t>
      </w:r>
      <w:r>
        <w:rPr>
          <w:sz w:val="28"/>
          <w:szCs w:val="28"/>
        </w:rPr>
        <w:t xml:space="preserve">1.2.1.1.6.2</w:t>
      </w:r>
      <w:bookmarkStart w:id="0" w:name="_GoBack"/>
      <w:r/>
      <w:bookmarkEnd w:id="0"/>
      <w:r>
        <w:rPr>
          <w:sz w:val="28"/>
          <w:szCs w:val="28"/>
        </w:rPr>
        <w:t xml:space="preserve"> изложить в следующий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553"/>
        <w:gridCol w:w="425"/>
        <w:gridCol w:w="425"/>
        <w:gridCol w:w="425"/>
        <w:gridCol w:w="425"/>
        <w:gridCol w:w="425"/>
        <w:gridCol w:w="566"/>
        <w:gridCol w:w="749"/>
        <w:gridCol w:w="1624"/>
        <w:gridCol w:w="1234"/>
        <w:gridCol w:w="1336"/>
        <w:gridCol w:w="1249"/>
        <w:gridCol w:w="1294"/>
        <w:gridCol w:w="1051"/>
      </w:tblGrid>
      <w:tr>
        <w:tblPrEx/>
        <w:trPr/>
        <w:tc>
          <w:tcPr>
            <w:tcW w:w="39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1.2.1.1.6.2</w:t>
            </w:r>
            <w:r>
              <w:rPr>
                <w:sz w:val="22"/>
              </w:rPr>
            </w:r>
          </w:p>
        </w:tc>
        <w:tc>
          <w:tcPr>
            <w:tcW w:w="852" w:type="pct"/>
            <w:vMerge w:val="restart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выполненные работы по строительству здания общеобразовательного учреждения в Индустриальном районе города </w:t>
            </w:r>
            <w:r>
              <w:rPr>
                <w:sz w:val="22"/>
              </w:rPr>
              <w:t xml:space="preserve">Перми</w:t>
            </w:r>
            <w:r>
              <w:rPr>
                <w:sz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МКУ «УТЗ»</w:t>
            </w:r>
            <w:r>
              <w:rPr>
                <w:sz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10 608,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41282</w:t>
            </w:r>
            <w:r>
              <w:rPr>
                <w:sz w:val="22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422 032,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12095</w:t>
            </w:r>
            <w:r>
              <w:rPr>
                <w:sz w:val="22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553 285,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82480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39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85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5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внебюджетные источники</w:t>
            </w:r>
            <w:r>
              <w:rPr>
                <w:sz w:val="22"/>
                <w:szCs w:val="28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407 119,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46354</w:t>
            </w:r>
            <w:r>
              <w:rPr>
                <w:sz w:val="22"/>
                <w:szCs w:val="28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строку «Итого по мероприятию 1.2.1.1.6, в том числе по источникам финансирования»</w:t>
      </w:r>
      <w:r>
        <w:rPr>
          <w:sz w:val="28"/>
          <w:szCs w:val="28"/>
        </w:rPr>
        <w:t xml:space="preserve"> изложить в следующий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89"/>
        <w:gridCol w:w="1624"/>
        <w:gridCol w:w="1234"/>
        <w:gridCol w:w="1336"/>
        <w:gridCol w:w="1249"/>
        <w:gridCol w:w="1294"/>
        <w:gridCol w:w="1051"/>
      </w:tblGrid>
      <w:tr>
        <w:tblPrEx/>
        <w:trPr/>
        <w:tc>
          <w:tcPr>
            <w:tcW w:w="2400" w:type="pct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Итого по мероприятию 1.2.1.1.6, в том числе по источникам финансирования</w:t>
            </w:r>
            <w:r>
              <w:rPr>
                <w:sz w:val="22"/>
                <w:szCs w:val="19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итого</w:t>
            </w:r>
            <w:r>
              <w:rPr>
                <w:sz w:val="22"/>
                <w:szCs w:val="19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454 119,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46354</w:t>
            </w:r>
            <w:r>
              <w:rPr>
                <w:sz w:val="22"/>
                <w:szCs w:val="19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453 000,000</w:t>
            </w:r>
            <w:r>
              <w:rPr>
                <w:sz w:val="22"/>
                <w:szCs w:val="19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625 831,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037</w:t>
            </w:r>
            <w:r>
              <w:rPr>
                <w:sz w:val="22"/>
                <w:szCs w:val="19"/>
              </w:rPr>
            </w:r>
          </w:p>
        </w:tc>
      </w:tr>
      <w:tr>
        <w:tblPrEx/>
        <w:trPr/>
        <w:tc>
          <w:tcPr>
            <w:tcW w:w="240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szCs w:val="19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szCs w:val="19"/>
              </w:rPr>
              <w:t xml:space="preserve">47 000,000</w:t>
            </w:r>
            <w:r>
              <w:rPr>
                <w:sz w:val="22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szCs w:val="19"/>
              </w:rPr>
              <w:t xml:space="preserve">453 000,000</w:t>
            </w:r>
            <w:r>
              <w:rPr>
                <w:sz w:val="22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625 831,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  <w:szCs w:val="19"/>
              </w:rPr>
              <w:t xml:space="preserve">037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240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19"/>
              </w:rPr>
              <w:t xml:space="preserve">внебюджетные источники</w:t>
            </w:r>
            <w:r>
              <w:rPr>
                <w:sz w:val="22"/>
                <w:szCs w:val="28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407 119,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19"/>
              </w:rPr>
              <w:t xml:space="preserve">46354</w:t>
            </w:r>
            <w:r>
              <w:rPr>
                <w:sz w:val="22"/>
                <w:szCs w:val="28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строки 1.2.1.1.9.4, 1.2.1.1.9.5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553"/>
        <w:gridCol w:w="425"/>
        <w:gridCol w:w="425"/>
        <w:gridCol w:w="425"/>
        <w:gridCol w:w="425"/>
        <w:gridCol w:w="425"/>
        <w:gridCol w:w="566"/>
        <w:gridCol w:w="749"/>
        <w:gridCol w:w="1624"/>
        <w:gridCol w:w="1234"/>
        <w:gridCol w:w="1336"/>
        <w:gridCol w:w="1249"/>
        <w:gridCol w:w="1294"/>
        <w:gridCol w:w="1051"/>
      </w:tblGrid>
      <w:tr>
        <w:tblPrEx/>
        <w:trPr/>
        <w:tc>
          <w:tcPr>
            <w:tcW w:w="39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1.2.1.1.9.4</w:t>
            </w:r>
            <w:r>
              <w:rPr>
                <w:sz w:val="22"/>
                <w:szCs w:val="22"/>
              </w:rPr>
            </w:r>
          </w:p>
        </w:tc>
        <w:tc>
          <w:tcPr>
            <w:tcW w:w="852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затрат на выполнение работ по выносу инженерных сетей при строительстве корпуса МАОУ «Школа дизайна «Точка» г. Перми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«УТЗ»</w:t>
            </w:r>
            <w:r>
              <w:rPr>
                <w:sz w:val="22"/>
                <w:szCs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1 350,37164</w:t>
            </w:r>
            <w:r>
              <w:rPr>
                <w:sz w:val="22"/>
                <w:szCs w:val="22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3 545,28176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9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3 363,35558</w:t>
            </w:r>
            <w:r>
              <w:rPr>
                <w:sz w:val="22"/>
                <w:szCs w:val="22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9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1.2.1.1.9.5</w:t>
            </w:r>
            <w:r>
              <w:rPr>
                <w:sz w:val="22"/>
                <w:szCs w:val="22"/>
              </w:rPr>
            </w:r>
          </w:p>
        </w:tc>
        <w:tc>
          <w:tcPr>
            <w:tcW w:w="852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проведенный авторский надзор за строительством корпуса МАОУ «</w:t>
            </w:r>
            <w:r>
              <w:rPr>
                <w:sz w:val="22"/>
                <w:szCs w:val="22"/>
              </w:rPr>
              <w:t xml:space="preserve">Школа дизайна «Точка» г. Перми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«УТЗ»</w:t>
            </w:r>
            <w:r>
              <w:rPr>
                <w:sz w:val="22"/>
                <w:szCs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2 100,71453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9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122,99026</w:t>
            </w:r>
            <w:r>
              <w:rPr>
                <w:sz w:val="22"/>
                <w:szCs w:val="22"/>
              </w:rPr>
            </w:r>
          </w:p>
        </w:tc>
        <w:tc>
          <w:tcPr>
            <w:tcW w:w="4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строку «</w:t>
      </w:r>
      <w:r>
        <w:rPr>
          <w:sz w:val="28"/>
          <w:szCs w:val="28"/>
        </w:rPr>
        <w:t xml:space="preserve">Итого по мероприятию 1.2.1.1.9,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70"/>
        <w:gridCol w:w="1142"/>
        <w:gridCol w:w="1248"/>
        <w:gridCol w:w="1341"/>
        <w:gridCol w:w="1212"/>
        <w:gridCol w:w="1212"/>
      </w:tblGrid>
      <w:tr>
        <w:tblPrEx/>
        <w:trPr>
          <w:trHeight w:val="20"/>
        </w:trPr>
        <w:tc>
          <w:tcPr>
            <w:tcW w:w="4644" w:type="dxa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Итого по мероприятию 1.2.1.1.9, в том числе по источникам финансирования</w:t>
            </w:r>
            <w:r>
              <w:rPr>
                <w:sz w:val="22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итого</w:t>
            </w:r>
            <w:r>
              <w:rPr>
                <w:sz w:val="22"/>
              </w:rPr>
            </w:r>
          </w:p>
        </w:tc>
        <w:tc>
          <w:tcPr>
            <w:tcW w:w="1142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236 103,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285</w:t>
            </w:r>
            <w:r>
              <w:rPr>
                <w:sz w:val="22"/>
              </w:rPr>
            </w:r>
          </w:p>
        </w:tc>
        <w:tc>
          <w:tcPr>
            <w:tcW w:w="1248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1 174 774,</w:t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50792</w:t>
            </w:r>
            <w:r>
              <w:rPr>
                <w:sz w:val="22"/>
              </w:rPr>
            </w:r>
          </w:p>
        </w:tc>
        <w:tc>
          <w:tcPr>
            <w:tcW w:w="1341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3 486,34584</w:t>
            </w:r>
            <w:r>
              <w:rPr>
                <w:sz w:val="22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4644" w:type="dxa"/>
            <w:vMerge w:val="continue"/>
            <w:textDirection w:val="lrTb"/>
            <w:noWrap/>
          </w:tcPr>
          <w:p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142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46 569,</w:t>
            </w:r>
            <w:r>
              <w:rPr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600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48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300 656,</w:t>
            </w:r>
            <w:r>
              <w:rPr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70912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34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44" w:type="dxa"/>
            <w:vMerge w:val="continue"/>
            <w:textDirection w:val="lrTb"/>
            <w:noWrap/>
          </w:tcPr>
          <w:p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1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48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1 113,</w:t>
            </w:r>
            <w:r>
              <w:rPr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66742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34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3 486,34584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44" w:type="dxa"/>
            <w:vMerge w:val="continue"/>
            <w:textDirection w:val="lrTb"/>
            <w:noWrap/>
          </w:tcPr>
          <w:p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1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9 476,685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48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57 120,</w:t>
            </w:r>
            <w:r>
              <w:rPr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66650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34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4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142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180 057,</w:t>
            </w:r>
            <w:r>
              <w:rPr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000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48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479 955,</w:t>
            </w:r>
            <w:r>
              <w:rPr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500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34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4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14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48" w:type="dxa"/>
            <w:textDirection w:val="lrTb"/>
            <w:noWrap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335 927,</w:t>
            </w:r>
            <w:r>
              <w:rPr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96488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34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212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строку 1.2.1.1.12.1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40"/>
        <w:gridCol w:w="2409"/>
        <w:gridCol w:w="426"/>
        <w:gridCol w:w="426"/>
        <w:gridCol w:w="426"/>
        <w:gridCol w:w="425"/>
        <w:gridCol w:w="425"/>
        <w:gridCol w:w="425"/>
        <w:gridCol w:w="893"/>
        <w:gridCol w:w="1624"/>
        <w:gridCol w:w="1231"/>
        <w:gridCol w:w="1231"/>
        <w:gridCol w:w="1231"/>
        <w:gridCol w:w="1231"/>
        <w:gridCol w:w="1234"/>
      </w:tblGrid>
      <w:tr>
        <w:tblPrEx/>
        <w:trPr/>
        <w:tc>
          <w:tcPr>
            <w:tcW w:w="44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1.2.1.1.12.1</w:t>
            </w:r>
            <w:r>
              <w:rPr>
                <w:sz w:val="22"/>
                <w:szCs w:val="22"/>
              </w:rPr>
            </w:r>
          </w:p>
        </w:tc>
        <w:tc>
          <w:tcPr>
            <w:tcW w:w="80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выполненные работы по строительству нового корпуса МАОУ «Инженерная школа»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Перми по ул. Академи</w:t>
            </w:r>
            <w:r>
              <w:rPr>
                <w:sz w:val="22"/>
                <w:szCs w:val="22"/>
              </w:rPr>
              <w:t xml:space="preserve">ка Веденеева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29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«УТЗ»</w:t>
            </w:r>
            <w:r>
              <w:rPr>
                <w:sz w:val="22"/>
                <w:szCs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386 529,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23040</w:t>
            </w:r>
            <w:r>
              <w:rPr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720 868,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41395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142 000,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44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137 790,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67966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строку «</w:t>
      </w:r>
      <w:r>
        <w:rPr>
          <w:sz w:val="28"/>
          <w:szCs w:val="28"/>
        </w:rPr>
        <w:t xml:space="preserve">Итого по мероприятию 1.2.1.1.12, в том числе по источникам финансирования»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70"/>
        <w:gridCol w:w="3751"/>
        <w:gridCol w:w="1286"/>
        <w:gridCol w:w="1289"/>
        <w:gridCol w:w="1288"/>
        <w:gridCol w:w="1132"/>
        <w:gridCol w:w="12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Итого по мероприятию 1.2.1.1.12, в том числе по источникам финансирования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итого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449 812,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19949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162 790,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67966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558 438,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421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746 059,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630 </w:t>
            </w:r>
            <w:r>
              <w:rPr>
                <w:sz w:val="22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 города Перми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416 438,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421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746 059,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630 </w:t>
            </w:r>
            <w:r>
              <w:rPr>
                <w:sz w:val="22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 Пермского края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142 000,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000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5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внебюджетные источники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449 812,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19949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162 790,</w:t>
            </w:r>
            <w:r>
              <w:rPr>
                <w:sz w:val="22"/>
                <w:szCs w:val="19"/>
              </w:rPr>
            </w:r>
          </w:p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67966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2.7. строки «</w:t>
      </w:r>
      <w:r>
        <w:rPr>
          <w:rFonts w:eastAsia="Calibri"/>
          <w:sz w:val="28"/>
          <w:szCs w:val="22"/>
          <w:lang w:eastAsia="en-US"/>
        </w:rPr>
        <w:t xml:space="preserve">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08"/>
        <w:gridCol w:w="3505"/>
        <w:gridCol w:w="1231"/>
        <w:gridCol w:w="1234"/>
        <w:gridCol w:w="1234"/>
        <w:gridCol w:w="1234"/>
        <w:gridCol w:w="1231"/>
      </w:tblGrid>
      <w:tr>
        <w:tblPrEx/>
        <w:trPr/>
        <w:tc>
          <w:tcPr>
            <w:tcW w:w="1772" w:type="pct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1.2.1.1, в том числе по источникам финансиров</w:t>
            </w:r>
            <w:r>
              <w:rPr>
                <w:sz w:val="22"/>
                <w:szCs w:val="22"/>
              </w:rPr>
              <w:t xml:space="preserve">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1 297 018,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14670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4 827 303,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3 074 936,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88095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2 308 697,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84257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3 815 764,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421 525,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63456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1 072 069,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22009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316 706,763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1 947 992,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3 115 764,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17 952,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97514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21 393,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45443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4 053,15161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87 278,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79556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532 027,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08101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656 844,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142 263,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15790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110 557,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723 427,800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1 037 153,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445 526,140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46 832,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94144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2 164 660,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25737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1 514 561,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17220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218 442,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26 687,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77523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1.2.1,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1 297 018,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14670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4 827 303,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3 074 936,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88095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2 308 697,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84257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3 815 764,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421 525,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63456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1 072 069,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22009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316 706,763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1 947 992,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3 115 764,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17 952,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97514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21 393,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45443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4 053,15161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87 278,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79556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532 027,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08101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656 844,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142 263,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15790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110 557,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723 427,800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1 037 153,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445 526,140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46 832,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94144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2 164 660,</w:t>
            </w:r>
            <w:r>
              <w:rPr>
                <w:color w:val="000000"/>
                <w:sz w:val="22"/>
              </w:rPr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25737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1 514 561,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17220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218 442,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7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26 687,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77523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2.8. строку «</w:t>
      </w:r>
      <w:r>
        <w:rPr>
          <w:rFonts w:eastAsia="Calibri"/>
          <w:sz w:val="28"/>
          <w:szCs w:val="22"/>
          <w:lang w:eastAsia="en-US"/>
        </w:rPr>
        <w:t xml:space="preserve">Всего по подпрограмме 1.2,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3970"/>
        <w:gridCol w:w="1169"/>
        <w:gridCol w:w="1169"/>
        <w:gridCol w:w="1168"/>
        <w:gridCol w:w="1171"/>
        <w:gridCol w:w="1165"/>
      </w:tblGrid>
      <w:tr>
        <w:tblPrEx/>
        <w:trPr/>
        <w:tc>
          <w:tcPr>
            <w:tcW w:w="172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1 336 064,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82770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4 907 257,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87190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3 399 117,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18795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2 513 350,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47757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3 815 764,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460 572,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31556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1 152 023,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97909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610 104,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2 152 644,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881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3 115 764,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17 952,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97514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21 393,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45443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11 036,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06561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87 278,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79556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532 027,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08101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680 644,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15695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142 263,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15790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110 557,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72196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723 427,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1 037 153,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445 526,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46 832,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94144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2 164 660,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25737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1 514 561,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17220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218 442,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26 687,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77523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2.9. в приложении:</w:t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2.9.1. в таблице 5 </w:t>
      </w:r>
      <w:r>
        <w:rPr>
          <w:rFonts w:eastAsia="Calibri"/>
          <w:sz w:val="28"/>
          <w:szCs w:val="22"/>
          <w:lang w:eastAsia="en-US"/>
        </w:rPr>
        <w:t xml:space="preserve">строки 13, 14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14878" w:type="dxa"/>
        <w:tblInd w:w="1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3685"/>
        <w:gridCol w:w="2658"/>
        <w:gridCol w:w="2658"/>
        <w:gridCol w:w="2658"/>
        <w:gridCol w:w="2659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13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Сметная стоимость объекта муниципальной собственности Перми, тыс. руб. </w:t>
            </w:r>
            <w:r>
              <w:rPr>
                <w:sz w:val="22"/>
                <w:szCs w:val="19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1532950,50054 в том числе: </w:t>
            </w:r>
            <w:r>
              <w:rPr>
                <w:sz w:val="22"/>
                <w:szCs w:val="19"/>
              </w:rPr>
            </w:r>
          </w:p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23826,38342 – разработка проектной документации; </w:t>
            </w:r>
            <w:r>
              <w:rPr>
                <w:sz w:val="22"/>
                <w:szCs w:val="19"/>
              </w:rPr>
            </w:r>
          </w:p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1408391,59341 – выполнение работ по строительству; </w:t>
            </w:r>
            <w:r>
              <w:rPr>
                <w:sz w:val="22"/>
                <w:szCs w:val="19"/>
              </w:rPr>
            </w:r>
          </w:p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46111,82371 – подключение (технологическое присоединение) к инженерным сетям; </w:t>
            </w:r>
            <w:r>
              <w:rPr>
                <w:sz w:val="22"/>
                <w:szCs w:val="19"/>
              </w:rPr>
            </w:r>
          </w:p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54620,700 – оснащение оборудованием, средствами обучения, мебелью, инвентарем общеобразовательного учреждения в Индустриальном районе города Перми </w:t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Объемы и источники финан</w:t>
            </w:r>
            <w:r>
              <w:rPr>
                <w:sz w:val="22"/>
                <w:szCs w:val="19"/>
              </w:rPr>
              <w:t xml:space="preserve">сирования осуществления капитальных вложений в объект по годам реализации, тыс. руб.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Всего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2024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2025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2026 </w:t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 города Перми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1125831,037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47000,000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453000,000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625831,037 </w:t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внебюджетные источники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407119,46354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407119,46354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2.9.2</w:t>
      </w:r>
      <w:r>
        <w:rPr>
          <w:rFonts w:eastAsia="Calibri"/>
          <w:sz w:val="28"/>
          <w:szCs w:val="22"/>
          <w:lang w:eastAsia="en-US"/>
        </w:rPr>
        <w:t xml:space="preserve">. в таблице 8 строки 13, 14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14848" w:type="dxa"/>
        <w:tblInd w:w="3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3632"/>
        <w:gridCol w:w="2654"/>
        <w:gridCol w:w="2655"/>
        <w:gridCol w:w="2654"/>
        <w:gridCol w:w="2655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6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Сметная стоимость объекта муниципальной собственности Перми, тыс. руб. 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6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1 398 122,64658 ***, в том числе: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27 644,80490 – разработка проектной документации;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1 275 169,22166 – выполнение работ п</w:t>
            </w:r>
            <w:r>
              <w:rPr>
                <w:sz w:val="22"/>
                <w:szCs w:val="22"/>
              </w:rPr>
              <w:t xml:space="preserve">о строительству;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23 687,82608 – подключение (технологическое присоединение) к инженерным сетям;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4 832,05160 – компенсация затрат на выполнение работ по выносу инженерных сетей;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1 944,80534 – проведение авторского надзора;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629,186 – выполнение техническ</w:t>
            </w:r>
            <w:r>
              <w:rPr>
                <w:sz w:val="22"/>
                <w:szCs w:val="22"/>
              </w:rPr>
              <w:t xml:space="preserve">ой инвентаризации и паспортизации объекта;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64 214,751 – оснащение оборудованием, средствами обучения, мебелью, инвентарем строящегося корпуса МАОУ «Школа дизайна «Точка» г. Перми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финансирования осуществления капитальных </w:t>
            </w:r>
            <w:r>
              <w:rPr>
                <w:sz w:val="22"/>
                <w:szCs w:val="22"/>
              </w:rPr>
              <w:t xml:space="preserve">вложений в объект по годам реализации, тыс. руб.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341 148,52161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45 455,93258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295 692,58903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4 600,01326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1 113,66742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3 486,34584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66 597,35150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9 476,685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57 120,66650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660 012,50000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180 057,000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479 955,500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325 764,26021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325 764,26021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2.9.3. в таблице 18 строку 14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147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86"/>
        <w:gridCol w:w="2635"/>
        <w:gridCol w:w="2635"/>
        <w:gridCol w:w="2635"/>
        <w:gridCol w:w="2635"/>
      </w:tblGrid>
      <w:tr>
        <w:tblPrEx/>
        <w:trPr>
          <w:trHeight w:val="6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Объемы и источники финансирования осуществления капитальных вложений в объект по годам реализации, тыс. руб.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Итого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2024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2025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2026 </w:t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 города Перми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1 162 498,051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416 438,421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746 059,630 </w:t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 Пермского края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142 000,000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142 000,000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внебюджетные источники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162 790,67966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162 790,67966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 В разделе «</w:t>
      </w:r>
      <w:r>
        <w:rPr>
          <w:rFonts w:eastAsia="Calibri"/>
          <w:sz w:val="28"/>
          <w:szCs w:val="22"/>
          <w:lang w:eastAsia="en-US"/>
        </w:rPr>
        <w:t xml:space="preserve">Система программных мероприятий подпрограммы 1.3 «Приведение имущественных комплексов муниципальных образовательных организаций города Перми в нормативное состояние» муниципальной программы «Развитие сети образовательных организаций города Перми»:</w:t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3.1. стр</w:t>
      </w:r>
      <w:r>
        <w:rPr>
          <w:rFonts w:eastAsia="Calibri"/>
          <w:sz w:val="28"/>
          <w:szCs w:val="22"/>
          <w:lang w:eastAsia="en-US"/>
        </w:rPr>
        <w:t xml:space="preserve">оку «Итого по основному мероприятию 1.3.1.1,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56"/>
        <w:gridCol w:w="1947"/>
        <w:gridCol w:w="1390"/>
        <w:gridCol w:w="1390"/>
        <w:gridCol w:w="1498"/>
        <w:gridCol w:w="1498"/>
        <w:gridCol w:w="1498"/>
      </w:tblGrid>
      <w:tr>
        <w:tblPrEx/>
        <w:trPr/>
        <w:tc>
          <w:tcPr>
            <w:tcW w:w="1922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1.3.1.1,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898 810,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11933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673 414,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01067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1 787 963,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61535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1 483 138,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85520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2 996 163,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49620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2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281 458,071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445 527,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013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1 102 891,882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898 027,037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861 709,600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2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8 887,826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2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257 384,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32233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199 036,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99767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256 025,43335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193 134,21820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490 924,39620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2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351 079,900</w:t>
            </w:r>
            <w:r>
              <w:rPr>
                <w:sz w:val="22"/>
                <w:szCs w:val="22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28 850,000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429 046,300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391 977,600</w:t>
            </w:r>
            <w:r>
              <w:rPr>
                <w:sz w:val="22"/>
                <w:szCs w:val="22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1 643 529,500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3.2. строки «Итого по задаче 1.3.1, в том числе по источникам финансирования», «</w:t>
      </w:r>
      <w:r>
        <w:rPr>
          <w:rFonts w:eastAsia="Calibri"/>
          <w:sz w:val="28"/>
          <w:szCs w:val="22"/>
          <w:lang w:eastAsia="en-US"/>
        </w:rPr>
        <w:t xml:space="preserve">Всего по подпрограмме 1.3,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69"/>
        <w:gridCol w:w="1948"/>
        <w:gridCol w:w="1432"/>
        <w:gridCol w:w="1432"/>
        <w:gridCol w:w="1432"/>
        <w:gridCol w:w="1432"/>
        <w:gridCol w:w="1432"/>
      </w:tblGrid>
      <w:tr>
        <w:tblPrEx/>
        <w:trPr/>
        <w:tc>
          <w:tcPr>
            <w:tcW w:w="195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1.3.1,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990 332,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1 156 694,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82289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2 066 610,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91835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1 501 443,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85520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3 199 855,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99620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333 719,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595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807 280,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59522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1 312 114,225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898 027,037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1 010 272,100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8 887,826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1 369,710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289 244,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719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320 564,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22767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324 080,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68335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211 439,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21820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546 054,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39620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358 479,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28 850,000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429 046,300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391 977,600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1 643 529,500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1.3,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990 332,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1 156 694,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82289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2 066 610,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91835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1 501 443,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85520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3 199 855,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99620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333 719,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595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807 280,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59522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1 312 114,225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898 027,037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1 010 272,100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8 887,826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1 369,710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289 244,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719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320 564,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22767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324 080,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68335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211 439,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21820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546 054,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39620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95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358 479,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28 850,000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429 046,300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391 977,600</w:t>
            </w:r>
            <w:r>
              <w:rPr>
                <w:sz w:val="22"/>
                <w:szCs w:val="22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1 643 529,500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 В приложении 2:</w:t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4.1. строку 1.2.1.1.6.4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15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3178"/>
        <w:gridCol w:w="895"/>
        <w:gridCol w:w="1454"/>
        <w:gridCol w:w="1338"/>
        <w:gridCol w:w="2095"/>
        <w:gridCol w:w="725"/>
        <w:gridCol w:w="581"/>
        <w:gridCol w:w="1746"/>
        <w:gridCol w:w="1633"/>
      </w:tblGrid>
      <w:tr>
        <w:tblPrEx/>
        <w:trPr>
          <w:trHeight w:val="630"/>
        </w:trPr>
        <w:tc>
          <w:tcPr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1.2.1.1.6.4</w:t>
            </w:r>
            <w:r>
              <w:rPr>
                <w:sz w:val="24"/>
              </w:rPr>
            </w:r>
          </w:p>
        </w:tc>
        <w:tc>
          <w:tcPr>
            <w:tcW w:w="3178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строительству здания общеобразовательного учреждения в Индустриальном районе города Перми </w:t>
            </w:r>
            <w:r>
              <w:rPr>
                <w:sz w:val="24"/>
              </w:rPr>
            </w:r>
          </w:p>
        </w:tc>
        <w:tc>
          <w:tcPr>
            <w:tcW w:w="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«УТЗ»</w:t>
            </w:r>
            <w:r>
              <w:rPr>
                <w:sz w:val="24"/>
              </w:rPr>
            </w:r>
          </w:p>
        </w:tc>
        <w:tc>
          <w:tcPr>
            <w:tcW w:w="14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01.12.2024</w:t>
            </w:r>
            <w:r>
              <w:rPr>
                <w:sz w:val="24"/>
              </w:rPr>
            </w:r>
          </w:p>
        </w:tc>
        <w:tc>
          <w:tcPr>
            <w:tcW w:w="13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31.12.2024</w:t>
            </w:r>
            <w:r>
              <w:rPr>
                <w:sz w:val="24"/>
              </w:rPr>
            </w:r>
          </w:p>
        </w:tc>
        <w:tc>
          <w:tcPr>
            <w:tcW w:w="20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выполненных работ</w:t>
            </w:r>
            <w:r>
              <w:rPr>
                <w:sz w:val="24"/>
              </w:rPr>
            </w:r>
          </w:p>
        </w:tc>
        <w:tc>
          <w:tcPr>
            <w:tcW w:w="7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</w:t>
            </w:r>
            <w:r>
              <w:rPr>
                <w:sz w:val="24"/>
              </w:rPr>
            </w:r>
          </w:p>
        </w:tc>
        <w:tc>
          <w:tcPr>
            <w:tcW w:w="5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города Перми</w:t>
            </w:r>
            <w:r>
              <w:rPr>
                <w:sz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10 608,41282</w:t>
            </w:r>
            <w:r>
              <w:rPr>
                <w:sz w:val="24"/>
              </w:rPr>
            </w:r>
          </w:p>
        </w:tc>
      </w:tr>
      <w:tr>
        <w:tblPrEx/>
        <w:trPr>
          <w:trHeight w:val="630"/>
        </w:trPr>
        <w:tc>
          <w:tcPr>
            <w:tcW w:w="14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1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89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4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33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9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7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внебюджетные источники</w:t>
            </w:r>
            <w:r>
              <w:rPr>
                <w:sz w:val="24"/>
                <w:szCs w:val="28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407 119,46354</w:t>
            </w:r>
            <w:r>
              <w:rPr>
                <w:sz w:val="24"/>
                <w:szCs w:val="28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4.2</w:t>
      </w:r>
      <w:r>
        <w:rPr>
          <w:rFonts w:eastAsia="Calibri"/>
          <w:sz w:val="28"/>
          <w:szCs w:val="22"/>
          <w:lang w:eastAsia="en-US"/>
        </w:rPr>
        <w:t xml:space="preserve">. строку «Итого по мероприятию 1.2.1.1.6,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150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6982"/>
        <w:gridCol w:w="1646"/>
      </w:tblGrid>
      <w:tr>
        <w:tblPrEx/>
        <w:trPr>
          <w:trHeight w:val="20"/>
        </w:trPr>
        <w:tc>
          <w:tcPr>
            <w:tcW w:w="644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 по мероприятию 1.2.1.1.6, в том числе по источникам 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W w:w="69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</w:t>
            </w:r>
            <w:r>
              <w:rPr>
                <w:sz w:val="22"/>
                <w:szCs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454119,46354</w:t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644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9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47 000,000</w:t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644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69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407 119,46354</w:t>
            </w:r>
            <w:r>
              <w:rPr>
                <w:sz w:val="22"/>
                <w:szCs w:val="28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4.3. строки 1.2.1.1.9.2, 1.2.1.1.9.3, «Итого по мероприятию 1.2.1.1.9,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14983" w:type="dxa"/>
        <w:tblInd w:w="1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65"/>
        <w:gridCol w:w="3118"/>
        <w:gridCol w:w="851"/>
        <w:gridCol w:w="1417"/>
        <w:gridCol w:w="1418"/>
        <w:gridCol w:w="2330"/>
        <w:gridCol w:w="505"/>
        <w:gridCol w:w="567"/>
        <w:gridCol w:w="1701"/>
        <w:gridCol w:w="1611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1.2.1.1.9.2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обязательств по соглашению о компенсации затрат по выносу сетей электроснабжения при строительстве корпуса МАОУ «Школа дизайна «Точка» г.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«УТЗ»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01.04.2024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об исполнении обязательств по компенсации затрат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</w:t>
            </w:r>
            <w:r>
              <w:rPr>
                <w:sz w:val="22"/>
                <w:szCs w:val="22"/>
              </w:rPr>
              <w:t xml:space="preserve">жет города Перми (неиспользованные ассигнования отчетного года)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3 363,35558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1.2.1.1.9.3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авторского надзора за строительством корпуса МАОУ «Школа дизайна «Точка» г.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«УТЗ»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01.04.2024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выполненных работ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122,99026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1.2.1.1.9, в том числе по источникам финансирования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3 486,34584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4.4. строки 1.2.1.1.12.2, «</w:t>
      </w:r>
      <w:r>
        <w:rPr>
          <w:rFonts w:eastAsia="Calibri"/>
          <w:sz w:val="28"/>
          <w:szCs w:val="22"/>
          <w:lang w:eastAsia="en-US"/>
        </w:rPr>
        <w:t xml:space="preserve">Итого по мероприятию 1.2.1.1.12, в том числе по источникам финансирования» изложить </w:t>
      </w:r>
      <w:r>
        <w:rPr>
          <w:rFonts w:eastAsia="Calibri"/>
          <w:sz w:val="28"/>
          <w:szCs w:val="22"/>
          <w:lang w:eastAsia="en-US"/>
        </w:rPr>
        <w:br/>
        <w:t xml:space="preserve">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149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2747"/>
        <w:gridCol w:w="1306"/>
        <w:gridCol w:w="1447"/>
        <w:gridCol w:w="1331"/>
        <w:gridCol w:w="2084"/>
        <w:gridCol w:w="721"/>
        <w:gridCol w:w="637"/>
        <w:gridCol w:w="1679"/>
        <w:gridCol w:w="1624"/>
      </w:tblGrid>
      <w:tr>
        <w:tblPrEx/>
        <w:trPr>
          <w:trHeight w:val="20"/>
        </w:trPr>
        <w:tc>
          <w:tcPr>
            <w:tcW w:w="141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2.1.1.12.2</w:t>
            </w:r>
            <w:r>
              <w:rPr>
                <w:sz w:val="22"/>
              </w:rPr>
            </w:r>
          </w:p>
        </w:tc>
        <w:tc>
          <w:tcPr>
            <w:tcW w:w="2747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выполнение работ по строительству нового корпуса </w:t>
            </w:r>
            <w:r>
              <w:rPr>
                <w:sz w:val="22"/>
              </w:rPr>
              <w:t xml:space="preserve">МАОУ «Инженерная школа» г. Перми, ул. Академика Веденеева </w:t>
            </w:r>
            <w:r>
              <w:rPr>
                <w:sz w:val="22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МКУ «УТЗ»</w:t>
            </w:r>
            <w:r>
              <w:rPr>
                <w:sz w:val="22"/>
              </w:rPr>
            </w:r>
          </w:p>
        </w:tc>
        <w:tc>
          <w:tcPr>
            <w:tcW w:w="144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01.03.2024</w:t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31.12.202</w:t>
            </w: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08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акт выполненных работ</w:t>
            </w:r>
            <w:r>
              <w:rPr>
                <w:sz w:val="22"/>
              </w:rPr>
            </w:r>
          </w:p>
        </w:tc>
        <w:tc>
          <w:tcPr>
            <w:tcW w:w="72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167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внебюджетные источники</w:t>
            </w:r>
            <w:r>
              <w:rPr>
                <w:sz w:val="22"/>
              </w:rPr>
            </w:r>
          </w:p>
        </w:tc>
        <w:tc>
          <w:tcPr>
            <w:tcW w:w="162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137790,67966</w:t>
            </w:r>
            <w:r>
              <w:rPr>
                <w:sz w:val="22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168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Итого по мероприятию 1.2.1.1.12, в том числе по источникам финансирования </w:t>
            </w:r>
            <w:r>
              <w:rPr>
                <w:sz w:val="22"/>
              </w:rPr>
            </w:r>
          </w:p>
        </w:tc>
        <w:tc>
          <w:tcPr>
            <w:tcW w:w="1679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внебюджетные источники</w:t>
            </w:r>
            <w:r>
              <w:rPr>
                <w:sz w:val="22"/>
              </w:rPr>
            </w:r>
          </w:p>
        </w:tc>
        <w:tc>
          <w:tcPr>
            <w:tcW w:w="162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162790,67966</w:t>
            </w:r>
            <w:r>
              <w:rPr>
                <w:sz w:val="22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4.5. строки «</w:t>
      </w:r>
      <w:r>
        <w:rPr>
          <w:rFonts w:eastAsia="Calibri"/>
          <w:sz w:val="28"/>
          <w:szCs w:val="22"/>
          <w:lang w:eastAsia="en-US"/>
        </w:rPr>
        <w:t xml:space="preserve">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149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7185"/>
        <w:gridCol w:w="1637"/>
      </w:tblGrid>
      <w:tr>
        <w:tblPrEx/>
        <w:trPr>
          <w:trHeight w:val="20"/>
        </w:trPr>
        <w:tc>
          <w:tcPr>
            <w:tcW w:w="615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1.2.1.1, в том числе по источникам финансиров</w:t>
            </w:r>
            <w:r>
              <w:rPr>
                <w:sz w:val="22"/>
                <w:szCs w:val="22"/>
              </w:rPr>
              <w:t xml:space="preserve">ания</w:t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3 074 936,88095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316 706,763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4 053,15161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656 844,15695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110 557,72196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445 526,140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1 514 561,17220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26 687,77523</w:t>
            </w:r>
            <w:r/>
          </w:p>
        </w:tc>
      </w:tr>
      <w:tr>
        <w:tblPrEx/>
        <w:trPr>
          <w:trHeight w:val="20"/>
        </w:trPr>
        <w:tc>
          <w:tcPr>
            <w:tcW w:w="615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1.2.1,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3 074 936,88095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316 706,763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4 053,15161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656 844,15695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110 557,72196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445 526,140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1 514 561,17220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63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26 687,77523</w:t>
            </w:r>
            <w:r/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4.6. строку «Всего по подпрограмме 1.2, в том числе по источникам финансирования»</w:t>
      </w:r>
      <w:r>
        <w:rPr>
          <w:sz w:val="28"/>
          <w:szCs w:val="22"/>
        </w:rPr>
        <w:t xml:space="preserve"> изложить в следующей редакции:</w:t>
      </w:r>
      <w:r>
        <w:rPr>
          <w:sz w:val="28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7087"/>
        <w:gridCol w:w="1701"/>
      </w:tblGrid>
      <w:tr>
        <w:tblPrEx/>
        <w:trPr/>
        <w:tc>
          <w:tcPr>
            <w:tcW w:w="615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3 399 117,18795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610 104,156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11 036,06561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680 644,15695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110 557,72196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445 526,140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1 514 561,17220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61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</w:t>
            </w:r>
            <w:r>
              <w:rPr>
                <w:sz w:val="22"/>
                <w:szCs w:val="22"/>
              </w:rPr>
              <w:t xml:space="preserve">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26 687,77523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5. В приложении 3 строку 1.3.1.1.1.2.11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118"/>
        <w:gridCol w:w="2058"/>
        <w:gridCol w:w="1207"/>
        <w:gridCol w:w="1144"/>
        <w:gridCol w:w="1809"/>
        <w:gridCol w:w="611"/>
        <w:gridCol w:w="914"/>
        <w:gridCol w:w="1306"/>
        <w:gridCol w:w="1330"/>
      </w:tblGrid>
      <w:tr>
        <w:tblPrEx/>
        <w:trPr>
          <w:trHeight w:val="20"/>
        </w:trPr>
        <w:tc>
          <w:tcPr>
            <w:tcW w:w="49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1.3.1.1.1.2.11</w:t>
            </w:r>
            <w:r>
              <w:rPr>
                <w:sz w:val="22"/>
                <w:szCs w:val="19"/>
              </w:rPr>
            </w:r>
          </w:p>
        </w:tc>
        <w:tc>
          <w:tcPr>
            <w:tcW w:w="1041" w:type="pct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выполнение работ по разработке проектн</w:t>
            </w:r>
            <w:r>
              <w:rPr>
                <w:sz w:val="22"/>
                <w:szCs w:val="19"/>
              </w:rPr>
              <w:t xml:space="preserve">о-сметной документации, текущему ремонту здания (ремонт внутренних помещений объекта культурного наследия регионального значения «Дом, где жил С.П. Дягилев»), монтаж системы видеонаблюдения, системы голосового оповещения на территории МБОУ «Гимназия № 11» </w:t>
            </w:r>
            <w:r>
              <w:rPr>
                <w:sz w:val="22"/>
                <w:szCs w:val="19"/>
              </w:rPr>
              <w:br/>
              <w:t xml:space="preserve">г. Перми, ул. Сибирская, 33 </w:t>
            </w:r>
            <w:r>
              <w:rPr>
                <w:sz w:val="22"/>
                <w:szCs w:val="19"/>
              </w:rPr>
            </w:r>
          </w:p>
        </w:tc>
        <w:tc>
          <w:tcPr>
            <w:tcW w:w="6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МБОУ «Гимназия № 11» г. Перми </w:t>
            </w:r>
            <w:r>
              <w:rPr>
                <w:sz w:val="22"/>
                <w:szCs w:val="19"/>
              </w:rPr>
            </w:r>
          </w:p>
        </w:tc>
        <w:tc>
          <w:tcPr>
            <w:tcW w:w="40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01.06.2024 </w:t>
            </w:r>
            <w:r>
              <w:rPr>
                <w:sz w:val="22"/>
                <w:szCs w:val="19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28.12.2024 </w:t>
            </w:r>
            <w:r>
              <w:rPr>
                <w:sz w:val="22"/>
                <w:szCs w:val="19"/>
              </w:rPr>
            </w:r>
          </w:p>
        </w:tc>
        <w:tc>
          <w:tcPr>
            <w:tcW w:w="6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количество видов документов (акт выполненных работ) </w:t>
            </w:r>
            <w:r>
              <w:rPr>
                <w:sz w:val="22"/>
                <w:szCs w:val="19"/>
              </w:rPr>
            </w:r>
          </w:p>
        </w:tc>
        <w:tc>
          <w:tcPr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ед. </w:t>
            </w:r>
            <w:r>
              <w:rPr>
                <w:sz w:val="22"/>
                <w:szCs w:val="19"/>
              </w:rPr>
            </w:r>
          </w:p>
        </w:tc>
        <w:tc>
          <w:tcPr>
            <w:tcW w:w="3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</w:t>
            </w:r>
            <w:r>
              <w:rPr>
                <w:sz w:val="22"/>
                <w:szCs w:val="19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 города Перми </w:t>
            </w:r>
            <w:r>
              <w:rPr>
                <w:sz w:val="22"/>
                <w:szCs w:val="19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9 145,087 </w:t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nsolas">
    <w:panose1 w:val="020B0609020204030204"/>
  </w:font>
  <w:font w:name="Times New Roman">
    <w:panose1 w:val="02020603050405020304"/>
  </w:font>
  <w:font w:name="Segoe UI">
    <w:panose1 w:val="020B0503020204020204"/>
  </w:font>
  <w:font w:name="Trebuchet MS">
    <w:panose1 w:val="020B0603020202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rPr>
        <w:rStyle w:val="979"/>
      </w:rPr>
      <w:framePr w:wrap="around" w:vAnchor="text" w:hAnchor="margin" w:xAlign="center" w:y="1"/>
    </w:pPr>
    <w:r>
      <w:rPr>
        <w:rStyle w:val="979"/>
      </w:rPr>
      <w:fldChar w:fldCharType="begin"/>
    </w:r>
    <w:r>
      <w:rPr>
        <w:rStyle w:val="979"/>
      </w:rPr>
      <w:instrText xml:space="preserve">PAGE  </w:instrText>
    </w:r>
    <w:r>
      <w:rPr>
        <w:rStyle w:val="979"/>
      </w:rPr>
      <w:fldChar w:fldCharType="end"/>
    </w:r>
    <w:r>
      <w:rPr>
        <w:rStyle w:val="979"/>
      </w:rPr>
    </w:r>
  </w:p>
  <w:p>
    <w:pPr>
      <w:pStyle w:val="8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  <w:p>
    <w:pPr>
      <w:pStyle w:val="8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39" w:hanging="123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39" w:hanging="123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9" w:hanging="1230"/>
      </w:pPr>
    </w:lvl>
    <w:lvl w:ilvl="4">
      <w:start w:val="11"/>
      <w:numFmt w:val="decimal"/>
      <w:isLgl w:val="false"/>
      <w:suff w:val="tab"/>
      <w:lvlText w:val="%1.%2.%3.%4.%5."/>
      <w:lvlJc w:val="left"/>
      <w:pPr>
        <w:ind w:left="1939" w:hanging="123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3"/>
  </w:num>
  <w:num w:numId="4">
    <w:abstractNumId w:val="6"/>
  </w:num>
  <w:num w:numId="5">
    <w:abstractNumId w:val="20"/>
  </w:num>
  <w:num w:numId="6">
    <w:abstractNumId w:val="35"/>
  </w:num>
  <w:num w:numId="7">
    <w:abstractNumId w:val="16"/>
  </w:num>
  <w:num w:numId="8">
    <w:abstractNumId w:val="30"/>
  </w:num>
  <w:num w:numId="9">
    <w:abstractNumId w:val="36"/>
  </w:num>
  <w:num w:numId="10">
    <w:abstractNumId w:val="5"/>
  </w:num>
  <w:num w:numId="11">
    <w:abstractNumId w:val="0"/>
  </w:num>
  <w:num w:numId="12">
    <w:abstractNumId w:val="12"/>
  </w:num>
  <w:num w:numId="13">
    <w:abstractNumId w:val="23"/>
  </w:num>
  <w:num w:numId="14">
    <w:abstractNumId w:val="27"/>
  </w:num>
  <w:num w:numId="15">
    <w:abstractNumId w:val="11"/>
  </w:num>
  <w:num w:numId="16">
    <w:abstractNumId w:val="19"/>
  </w:num>
  <w:num w:numId="17">
    <w:abstractNumId w:val="31"/>
  </w:num>
  <w:num w:numId="18">
    <w:abstractNumId w:val="26"/>
  </w:num>
  <w:num w:numId="19">
    <w:abstractNumId w:val="3"/>
  </w:num>
  <w:num w:numId="20">
    <w:abstractNumId w:val="18"/>
  </w:num>
  <w:num w:numId="21">
    <w:abstractNumId w:val="9"/>
  </w:num>
  <w:num w:numId="22">
    <w:abstractNumId w:val="17"/>
  </w:num>
  <w:num w:numId="23">
    <w:abstractNumId w:val="10"/>
  </w:num>
  <w:num w:numId="24">
    <w:abstractNumId w:val="7"/>
  </w:num>
  <w:num w:numId="25">
    <w:abstractNumId w:val="14"/>
  </w:num>
  <w:num w:numId="26">
    <w:abstractNumId w:val="1"/>
  </w:num>
  <w:num w:numId="27">
    <w:abstractNumId w:val="22"/>
  </w:num>
  <w:num w:numId="28">
    <w:abstractNumId w:val="13"/>
  </w:num>
  <w:num w:numId="29">
    <w:abstractNumId w:val="29"/>
  </w:num>
  <w:num w:numId="30">
    <w:abstractNumId w:val="2"/>
  </w:num>
  <w:num w:numId="31">
    <w:abstractNumId w:val="25"/>
  </w:num>
  <w:num w:numId="32">
    <w:abstractNumId w:val="15"/>
  </w:num>
  <w:num w:numId="33">
    <w:abstractNumId w:val="21"/>
  </w:num>
  <w:num w:numId="34">
    <w:abstractNumId w:val="24"/>
  </w:num>
  <w:num w:numId="35">
    <w:abstractNumId w:val="32"/>
  </w:num>
  <w:num w:numId="36">
    <w:abstractNumId w:val="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5" w:default="1">
    <w:name w:val="Normal"/>
    <w:qFormat/>
  </w:style>
  <w:style w:type="paragraph" w:styleId="786">
    <w:name w:val="Heading 1"/>
    <w:basedOn w:val="785"/>
    <w:next w:val="785"/>
    <w:link w:val="100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87">
    <w:name w:val="Heading 2"/>
    <w:basedOn w:val="785"/>
    <w:next w:val="785"/>
    <w:link w:val="100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88">
    <w:name w:val="Heading 3"/>
    <w:basedOn w:val="785"/>
    <w:next w:val="785"/>
    <w:link w:val="1004"/>
    <w:qFormat/>
    <w:pPr>
      <w:jc w:val="center"/>
      <w:keepLines/>
      <w:widowControl w:val="off"/>
      <w:outlineLvl w:val="2"/>
    </w:pPr>
    <w:rPr>
      <w:b/>
      <w:sz w:val="28"/>
      <w:lang w:eastAsia="en-US"/>
    </w:rPr>
  </w:style>
  <w:style w:type="paragraph" w:styleId="789">
    <w:name w:val="Heading 4"/>
    <w:basedOn w:val="785"/>
    <w:next w:val="785"/>
    <w:link w:val="8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>
    <w:name w:val="Heading 5"/>
    <w:basedOn w:val="785"/>
    <w:next w:val="785"/>
    <w:link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785"/>
    <w:next w:val="785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785"/>
    <w:next w:val="785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785"/>
    <w:next w:val="785"/>
    <w:link w:val="8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785"/>
    <w:next w:val="785"/>
    <w:link w:val="8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 w:default="1">
    <w:name w:val="Default Paragraph Font"/>
    <w:uiPriority w:val="1"/>
    <w:semiHidden/>
    <w:unhideWhenUsed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7" w:default="1">
    <w:name w:val="No List"/>
    <w:uiPriority w:val="99"/>
    <w:semiHidden/>
    <w:unhideWhenUsed/>
  </w:style>
  <w:style w:type="character" w:styleId="7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Title Char"/>
    <w:uiPriority w:val="10"/>
    <w:rPr>
      <w:sz w:val="48"/>
      <w:szCs w:val="48"/>
    </w:rPr>
  </w:style>
  <w:style w:type="character" w:styleId="805" w:customStyle="1">
    <w:name w:val="Quote Char"/>
    <w:uiPriority w:val="29"/>
    <w:rPr>
      <w:i/>
    </w:rPr>
  </w:style>
  <w:style w:type="character" w:styleId="806" w:customStyle="1">
    <w:name w:val="Intense Quote Char"/>
    <w:uiPriority w:val="30"/>
    <w:rPr>
      <w:i/>
    </w:rPr>
  </w:style>
  <w:style w:type="character" w:styleId="807" w:customStyle="1">
    <w:name w:val="Endnote Text Char"/>
    <w:uiPriority w:val="99"/>
    <w:rPr>
      <w:sz w:val="20"/>
    </w:rPr>
  </w:style>
  <w:style w:type="character" w:styleId="80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uiPriority w:val="9"/>
    <w:rPr>
      <w:rFonts w:ascii="Arial" w:hAnsi="Arial" w:eastAsia="Arial" w:cs="Arial"/>
      <w:sz w:val="34"/>
    </w:rPr>
  </w:style>
  <w:style w:type="character" w:styleId="81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11" w:customStyle="1">
    <w:name w:val="Заголовок 4 Знак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Заголовок 5 Знак"/>
    <w:link w:val="790"/>
    <w:uiPriority w:val="9"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Заголовок 6 Знак"/>
    <w:link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Заголовок 7 Знак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Заголовок 8 Знак"/>
    <w:link w:val="793"/>
    <w:uiPriority w:val="9"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Заголовок 9 Знак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817">
    <w:name w:val="List Paragraph"/>
    <w:basedOn w:val="785"/>
    <w:uiPriority w:val="34"/>
    <w:qFormat/>
    <w:pPr>
      <w:contextualSpacing/>
      <w:ind w:left="720"/>
      <w:jc w:val="center"/>
    </w:pPr>
    <w:rPr>
      <w:bCs/>
      <w:color w:val="000000"/>
      <w:sz w:val="28"/>
      <w:szCs w:val="28"/>
    </w:rPr>
  </w:style>
  <w:style w:type="paragraph" w:styleId="818">
    <w:name w:val="No Spacing"/>
    <w:link w:val="993"/>
    <w:uiPriority w:val="1"/>
    <w:qFormat/>
    <w:pPr>
      <w:widowControl w:val="off"/>
    </w:pPr>
    <w:rPr>
      <w:rFonts w:ascii="Arial" w:hAnsi="Arial" w:eastAsia="Lucida Sans Unicode"/>
      <w:szCs w:val="24"/>
    </w:rPr>
  </w:style>
  <w:style w:type="paragraph" w:styleId="819">
    <w:name w:val="Title"/>
    <w:basedOn w:val="785"/>
    <w:next w:val="785"/>
    <w:link w:val="8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0" w:customStyle="1">
    <w:name w:val="Название Знак"/>
    <w:link w:val="819"/>
    <w:uiPriority w:val="10"/>
    <w:rPr>
      <w:sz w:val="48"/>
      <w:szCs w:val="48"/>
    </w:rPr>
  </w:style>
  <w:style w:type="paragraph" w:styleId="821">
    <w:name w:val="Subtitle"/>
    <w:basedOn w:val="785"/>
    <w:next w:val="785"/>
    <w:link w:val="1000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22" w:customStyle="1">
    <w:name w:val="Subtitle Char"/>
    <w:uiPriority w:val="11"/>
    <w:rPr>
      <w:sz w:val="24"/>
      <w:szCs w:val="24"/>
    </w:rPr>
  </w:style>
  <w:style w:type="paragraph" w:styleId="823">
    <w:name w:val="Quote"/>
    <w:basedOn w:val="785"/>
    <w:next w:val="785"/>
    <w:link w:val="824"/>
    <w:uiPriority w:val="29"/>
    <w:qFormat/>
    <w:pPr>
      <w:ind w:left="720" w:right="720"/>
    </w:pPr>
    <w:rPr>
      <w:i/>
    </w:rPr>
  </w:style>
  <w:style w:type="character" w:styleId="824" w:customStyle="1">
    <w:name w:val="Цитата 2 Знак"/>
    <w:link w:val="823"/>
    <w:uiPriority w:val="29"/>
    <w:rPr>
      <w:i/>
    </w:rPr>
  </w:style>
  <w:style w:type="paragraph" w:styleId="825">
    <w:name w:val="Intense Quote"/>
    <w:basedOn w:val="785"/>
    <w:next w:val="785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6" w:customStyle="1">
    <w:name w:val="Выделенная цитата Знак"/>
    <w:link w:val="825"/>
    <w:uiPriority w:val="30"/>
    <w:rPr>
      <w:i/>
    </w:rPr>
  </w:style>
  <w:style w:type="paragraph" w:styleId="827">
    <w:name w:val="Header"/>
    <w:basedOn w:val="785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28" w:customStyle="1">
    <w:name w:val="Header Char"/>
    <w:uiPriority w:val="99"/>
  </w:style>
  <w:style w:type="paragraph" w:styleId="829">
    <w:name w:val="Footer"/>
    <w:basedOn w:val="785"/>
    <w:link w:val="991"/>
    <w:uiPriority w:val="99"/>
    <w:pPr>
      <w:tabs>
        <w:tab w:val="center" w:pos="4153" w:leader="none"/>
        <w:tab w:val="right" w:pos="8306" w:leader="none"/>
      </w:tabs>
    </w:pPr>
  </w:style>
  <w:style w:type="character" w:styleId="830" w:customStyle="1">
    <w:name w:val="Footer Char"/>
    <w:uiPriority w:val="99"/>
  </w:style>
  <w:style w:type="paragraph" w:styleId="831">
    <w:name w:val="Caption"/>
    <w:basedOn w:val="785"/>
    <w:next w:val="78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32" w:customStyle="1">
    <w:name w:val="Caption Char"/>
    <w:uiPriority w:val="99"/>
  </w:style>
  <w:style w:type="table" w:styleId="833">
    <w:name w:val="Table Grid"/>
    <w:basedOn w:val="79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3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9">
    <w:name w:val="Hyperlink"/>
    <w:uiPriority w:val="99"/>
    <w:rPr>
      <w:color w:val="0000ff"/>
      <w:u w:val="single"/>
    </w:rPr>
  </w:style>
  <w:style w:type="paragraph" w:styleId="960">
    <w:name w:val="footnote text"/>
    <w:basedOn w:val="785"/>
    <w:link w:val="1020"/>
  </w:style>
  <w:style w:type="character" w:styleId="961" w:customStyle="1">
    <w:name w:val="Footnote Text Char"/>
    <w:uiPriority w:val="99"/>
    <w:rPr>
      <w:sz w:val="18"/>
    </w:rPr>
  </w:style>
  <w:style w:type="character" w:styleId="962">
    <w:name w:val="footnote reference"/>
    <w:rPr>
      <w:vertAlign w:val="superscript"/>
    </w:rPr>
  </w:style>
  <w:style w:type="paragraph" w:styleId="963">
    <w:name w:val="endnote text"/>
    <w:basedOn w:val="785"/>
    <w:link w:val="964"/>
    <w:uiPriority w:val="99"/>
    <w:semiHidden/>
    <w:unhideWhenUsed/>
  </w:style>
  <w:style w:type="character" w:styleId="964" w:customStyle="1">
    <w:name w:val="Текст концевой сноски Знак"/>
    <w:link w:val="963"/>
    <w:uiPriority w:val="99"/>
    <w:rPr>
      <w:sz w:val="20"/>
    </w:rPr>
  </w:style>
  <w:style w:type="character" w:styleId="965">
    <w:name w:val="endnote reference"/>
    <w:uiPriority w:val="99"/>
    <w:semiHidden/>
    <w:unhideWhenUsed/>
    <w:rPr>
      <w:vertAlign w:val="superscript"/>
    </w:rPr>
  </w:style>
  <w:style w:type="paragraph" w:styleId="966">
    <w:name w:val="toc 1"/>
    <w:basedOn w:val="785"/>
    <w:next w:val="785"/>
    <w:uiPriority w:val="39"/>
    <w:unhideWhenUsed/>
    <w:pPr>
      <w:spacing w:after="57"/>
    </w:pPr>
  </w:style>
  <w:style w:type="paragraph" w:styleId="967">
    <w:name w:val="toc 2"/>
    <w:basedOn w:val="785"/>
    <w:next w:val="785"/>
    <w:uiPriority w:val="39"/>
    <w:unhideWhenUsed/>
    <w:pPr>
      <w:ind w:left="283"/>
      <w:spacing w:after="57"/>
    </w:pPr>
  </w:style>
  <w:style w:type="paragraph" w:styleId="968">
    <w:name w:val="toc 3"/>
    <w:basedOn w:val="785"/>
    <w:next w:val="785"/>
    <w:uiPriority w:val="39"/>
    <w:unhideWhenUsed/>
    <w:pPr>
      <w:ind w:left="567"/>
      <w:spacing w:after="57"/>
    </w:pPr>
  </w:style>
  <w:style w:type="paragraph" w:styleId="969">
    <w:name w:val="toc 4"/>
    <w:basedOn w:val="785"/>
    <w:next w:val="785"/>
    <w:uiPriority w:val="39"/>
    <w:unhideWhenUsed/>
    <w:pPr>
      <w:ind w:left="850"/>
      <w:spacing w:after="57"/>
    </w:pPr>
  </w:style>
  <w:style w:type="paragraph" w:styleId="970">
    <w:name w:val="toc 5"/>
    <w:basedOn w:val="785"/>
    <w:next w:val="785"/>
    <w:uiPriority w:val="39"/>
    <w:unhideWhenUsed/>
    <w:pPr>
      <w:ind w:left="1134"/>
      <w:spacing w:after="57"/>
    </w:pPr>
  </w:style>
  <w:style w:type="paragraph" w:styleId="971">
    <w:name w:val="toc 6"/>
    <w:basedOn w:val="785"/>
    <w:next w:val="785"/>
    <w:uiPriority w:val="39"/>
    <w:unhideWhenUsed/>
    <w:pPr>
      <w:ind w:left="1417"/>
      <w:spacing w:after="57"/>
    </w:pPr>
  </w:style>
  <w:style w:type="paragraph" w:styleId="972">
    <w:name w:val="toc 7"/>
    <w:basedOn w:val="785"/>
    <w:next w:val="785"/>
    <w:uiPriority w:val="39"/>
    <w:unhideWhenUsed/>
    <w:pPr>
      <w:ind w:left="1701"/>
      <w:spacing w:after="57"/>
    </w:pPr>
  </w:style>
  <w:style w:type="paragraph" w:styleId="973">
    <w:name w:val="toc 8"/>
    <w:basedOn w:val="785"/>
    <w:next w:val="785"/>
    <w:uiPriority w:val="39"/>
    <w:unhideWhenUsed/>
    <w:pPr>
      <w:ind w:left="1984"/>
      <w:spacing w:after="57"/>
    </w:pPr>
  </w:style>
  <w:style w:type="paragraph" w:styleId="974">
    <w:name w:val="toc 9"/>
    <w:basedOn w:val="785"/>
    <w:next w:val="785"/>
    <w:uiPriority w:val="39"/>
    <w:unhideWhenUsed/>
    <w:pPr>
      <w:ind w:left="2268"/>
      <w:spacing w:after="57"/>
    </w:pPr>
  </w:style>
  <w:style w:type="paragraph" w:styleId="975">
    <w:name w:val="TOC Heading"/>
    <w:uiPriority w:val="39"/>
    <w:unhideWhenUsed/>
    <w:rPr>
      <w:lang w:eastAsia="zh-CN"/>
    </w:rPr>
  </w:style>
  <w:style w:type="paragraph" w:styleId="976">
    <w:name w:val="table of figures"/>
    <w:basedOn w:val="785"/>
    <w:next w:val="785"/>
    <w:uiPriority w:val="99"/>
    <w:unhideWhenUsed/>
  </w:style>
  <w:style w:type="paragraph" w:styleId="977">
    <w:name w:val="Body Text"/>
    <w:basedOn w:val="785"/>
    <w:link w:val="992"/>
    <w:pPr>
      <w:ind w:right="3117"/>
    </w:pPr>
    <w:rPr>
      <w:rFonts w:ascii="Courier New" w:hAnsi="Courier New"/>
      <w:sz w:val="26"/>
      <w:lang w:val="en-US" w:eastAsia="en-US"/>
    </w:rPr>
  </w:style>
  <w:style w:type="paragraph" w:styleId="978">
    <w:name w:val="Body Text Indent"/>
    <w:basedOn w:val="785"/>
    <w:link w:val="1022"/>
    <w:pPr>
      <w:ind w:right="-1"/>
      <w:jc w:val="both"/>
    </w:pPr>
    <w:rPr>
      <w:sz w:val="26"/>
      <w:lang w:val="en-US" w:eastAsia="en-US"/>
    </w:rPr>
  </w:style>
  <w:style w:type="character" w:styleId="979">
    <w:name w:val="page number"/>
    <w:basedOn w:val="795"/>
  </w:style>
  <w:style w:type="paragraph" w:styleId="980">
    <w:name w:val="Balloon Text"/>
    <w:basedOn w:val="785"/>
    <w:link w:val="981"/>
    <w:uiPriority w:val="99"/>
    <w:rPr>
      <w:rFonts w:ascii="Segoe UI" w:hAnsi="Segoe UI"/>
      <w:sz w:val="18"/>
      <w:szCs w:val="18"/>
      <w:lang w:val="en-US" w:eastAsia="en-US"/>
    </w:rPr>
  </w:style>
  <w:style w:type="character" w:styleId="981" w:customStyle="1">
    <w:name w:val="Текст выноски Знак"/>
    <w:link w:val="980"/>
    <w:uiPriority w:val="99"/>
    <w:rPr>
      <w:rFonts w:ascii="Segoe UI" w:hAnsi="Segoe UI" w:cs="Segoe UI"/>
      <w:sz w:val="18"/>
      <w:szCs w:val="18"/>
    </w:rPr>
  </w:style>
  <w:style w:type="character" w:styleId="982" w:customStyle="1">
    <w:name w:val="Верхний колонтитул Знак"/>
    <w:link w:val="827"/>
    <w:uiPriority w:val="99"/>
  </w:style>
  <w:style w:type="paragraph" w:styleId="983" w:customStyle="1">
    <w:name w:val="Форма"/>
    <w:rPr>
      <w:sz w:val="28"/>
      <w:szCs w:val="28"/>
    </w:rPr>
  </w:style>
  <w:style w:type="paragraph" w:styleId="98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5" w:customStyle="1">
    <w:name w:val="ConsPlusCell"/>
    <w:pPr>
      <w:widowControl w:val="off"/>
    </w:pPr>
    <w:rPr>
      <w:rFonts w:ascii="Arial" w:hAnsi="Arial" w:cs="Arial"/>
    </w:rPr>
  </w:style>
  <w:style w:type="numbering" w:styleId="986" w:customStyle="1">
    <w:name w:val="Нет списка1"/>
    <w:next w:val="797"/>
    <w:semiHidden/>
  </w:style>
  <w:style w:type="paragraph" w:styleId="987" w:customStyle="1">
    <w:name w:val="Приложение"/>
    <w:basedOn w:val="977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88" w:customStyle="1">
    <w:name w:val="Подпись на  бланке должностного лица"/>
    <w:basedOn w:val="785"/>
    <w:next w:val="977"/>
    <w:pPr>
      <w:ind w:left="7088"/>
      <w:spacing w:before="480" w:line="240" w:lineRule="exact"/>
    </w:pPr>
    <w:rPr>
      <w:color w:val="000000"/>
      <w:sz w:val="24"/>
    </w:rPr>
  </w:style>
  <w:style w:type="paragraph" w:styleId="989">
    <w:name w:val="Signature"/>
    <w:basedOn w:val="785"/>
    <w:next w:val="977"/>
    <w:link w:val="990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90" w:customStyle="1">
    <w:name w:val="Подпись Знак"/>
    <w:link w:val="989"/>
    <w:rPr>
      <w:sz w:val="28"/>
      <w:lang w:val="en-US" w:eastAsia="en-US"/>
    </w:rPr>
  </w:style>
  <w:style w:type="character" w:styleId="991" w:customStyle="1">
    <w:name w:val="Нижний колонтитул Знак"/>
    <w:link w:val="829"/>
    <w:uiPriority w:val="99"/>
  </w:style>
  <w:style w:type="character" w:styleId="992" w:customStyle="1">
    <w:name w:val="Основной текст Знак"/>
    <w:link w:val="977"/>
    <w:rPr>
      <w:rFonts w:ascii="Courier New" w:hAnsi="Courier New"/>
      <w:sz w:val="26"/>
    </w:rPr>
  </w:style>
  <w:style w:type="character" w:styleId="993" w:customStyle="1">
    <w:name w:val="Без интервала Знак"/>
    <w:link w:val="818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994">
    <w:name w:val="Normal (Web)"/>
    <w:basedOn w:val="785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995">
    <w:name w:val="Strong"/>
    <w:uiPriority w:val="22"/>
    <w:qFormat/>
    <w:rPr>
      <w:b/>
      <w:bCs/>
    </w:rPr>
  </w:style>
  <w:style w:type="paragraph" w:styleId="996" w:customStyle="1">
    <w:name w:val="Адресат"/>
    <w:basedOn w:val="785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997" w:customStyle="1">
    <w:name w:val="Заголовок к тексту"/>
    <w:basedOn w:val="785"/>
    <w:next w:val="977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998" w:customStyle="1">
    <w:name w:val="Исполнитель"/>
    <w:basedOn w:val="977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999" w:customStyle="1">
    <w:name w:val="Подразделение"/>
    <w:basedOn w:val="785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00" w:customStyle="1">
    <w:name w:val="Подзаголовок Знак"/>
    <w:link w:val="82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01" w:customStyle="1">
    <w:name w:val="Нет списка2"/>
    <w:next w:val="797"/>
    <w:semiHidden/>
  </w:style>
  <w:style w:type="numbering" w:styleId="1002" w:customStyle="1">
    <w:name w:val="Нет списка3"/>
    <w:next w:val="797"/>
    <w:semiHidden/>
  </w:style>
  <w:style w:type="paragraph" w:styleId="1003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1004" w:customStyle="1">
    <w:name w:val="Заголовок 3 Знак"/>
    <w:link w:val="788"/>
    <w:rPr>
      <w:b/>
      <w:sz w:val="28"/>
      <w:lang w:val="en-US" w:eastAsia="en-US"/>
    </w:rPr>
  </w:style>
  <w:style w:type="numbering" w:styleId="1005" w:customStyle="1">
    <w:name w:val="Нет списка4"/>
    <w:next w:val="797"/>
    <w:uiPriority w:val="99"/>
    <w:semiHidden/>
  </w:style>
  <w:style w:type="character" w:styleId="1006" w:customStyle="1">
    <w:name w:val="Заголовок 1 Знак"/>
    <w:link w:val="786"/>
    <w:rPr>
      <w:sz w:val="24"/>
    </w:rPr>
  </w:style>
  <w:style w:type="character" w:styleId="1007" w:customStyle="1">
    <w:name w:val="Заголовок 2 Знак"/>
    <w:link w:val="787"/>
    <w:rPr>
      <w:sz w:val="24"/>
    </w:rPr>
  </w:style>
  <w:style w:type="character" w:styleId="1008">
    <w:name w:val="Emphasis"/>
    <w:uiPriority w:val="20"/>
    <w:qFormat/>
    <w:rPr>
      <w:i/>
      <w:iCs/>
    </w:rPr>
  </w:style>
  <w:style w:type="character" w:styleId="1009" w:customStyle="1">
    <w:name w:val="defaultlabelstyle3"/>
    <w:rPr>
      <w:rFonts w:ascii="Trebuchet MS" w:hAnsi="Trebuchet MS"/>
      <w:color w:val="333333"/>
    </w:rPr>
  </w:style>
  <w:style w:type="character" w:styleId="1010" w:customStyle="1">
    <w:name w:val="dialogfiledetails2"/>
    <w:rPr>
      <w:rFonts w:ascii="Trebuchet MS" w:hAnsi="Trebuchet MS"/>
      <w:color w:val="000000"/>
      <w:sz w:val="15"/>
      <w:szCs w:val="15"/>
    </w:rPr>
  </w:style>
  <w:style w:type="character" w:styleId="1011" w:customStyle="1">
    <w:name w:val="apple-converted-space"/>
    <w:basedOn w:val="795"/>
  </w:style>
  <w:style w:type="character" w:styleId="1012" w:customStyle="1">
    <w:name w:val="match"/>
    <w:basedOn w:val="795"/>
  </w:style>
  <w:style w:type="numbering" w:styleId="1013" w:customStyle="1">
    <w:name w:val="Нет списка5"/>
    <w:next w:val="797"/>
    <w:uiPriority w:val="99"/>
    <w:semiHidden/>
  </w:style>
  <w:style w:type="numbering" w:styleId="1014" w:customStyle="1">
    <w:name w:val="Нет списка6"/>
    <w:next w:val="797"/>
    <w:uiPriority w:val="99"/>
    <w:semiHidden/>
  </w:style>
  <w:style w:type="numbering" w:styleId="1015" w:customStyle="1">
    <w:name w:val="Нет списка7"/>
    <w:next w:val="797"/>
    <w:uiPriority w:val="99"/>
    <w:semiHidden/>
  </w:style>
  <w:style w:type="numbering" w:styleId="1016" w:customStyle="1">
    <w:name w:val="Нет списка8"/>
    <w:next w:val="797"/>
    <w:uiPriority w:val="99"/>
    <w:semiHidden/>
  </w:style>
  <w:style w:type="paragraph" w:styleId="101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018">
    <w:name w:val="Plain Text"/>
    <w:basedOn w:val="785"/>
    <w:link w:val="1019"/>
    <w:uiPriority w:val="99"/>
    <w:unhideWhenUsed/>
    <w:rPr>
      <w:rFonts w:ascii="Consolas" w:hAnsi="Consolas" w:eastAsia="Calibri"/>
      <w:sz w:val="21"/>
      <w:szCs w:val="21"/>
      <w:lang w:val="en-US" w:eastAsia="en-US"/>
    </w:rPr>
  </w:style>
  <w:style w:type="character" w:styleId="1019" w:customStyle="1">
    <w:name w:val="Текст Знак"/>
    <w:link w:val="1018"/>
    <w:uiPriority w:val="99"/>
    <w:rPr>
      <w:rFonts w:ascii="Consolas" w:hAnsi="Consolas" w:eastAsia="Calibri"/>
      <w:sz w:val="21"/>
      <w:szCs w:val="21"/>
      <w:lang w:eastAsia="en-US"/>
    </w:rPr>
  </w:style>
  <w:style w:type="character" w:styleId="1020" w:customStyle="1">
    <w:name w:val="Текст сноски Знак"/>
    <w:basedOn w:val="795"/>
    <w:link w:val="960"/>
  </w:style>
  <w:style w:type="table" w:styleId="1021" w:customStyle="1">
    <w:name w:val="0-19"/>
    <w:basedOn w:val="796"/>
    <w:rPr>
      <w:sz w:val="28"/>
    </w:rPr>
    <w:tblPr/>
  </w:style>
  <w:style w:type="character" w:styleId="1022" w:customStyle="1">
    <w:name w:val="Основной текст с отступом Знак"/>
    <w:link w:val="978"/>
    <w:rPr>
      <w:sz w:val="26"/>
    </w:rPr>
  </w:style>
  <w:style w:type="numbering" w:styleId="1023" w:customStyle="1">
    <w:name w:val="Нет списка9"/>
    <w:next w:val="797"/>
    <w:uiPriority w:val="99"/>
    <w:semiHidden/>
    <w:unhideWhenUsed/>
  </w:style>
  <w:style w:type="paragraph" w:styleId="1024" w:customStyle="1">
    <w:name w:val="ConsPlusDocList"/>
    <w:pPr>
      <w:widowControl w:val="off"/>
    </w:pPr>
    <w:rPr>
      <w:rFonts w:ascii="Calibri" w:hAnsi="Calibri" w:cs="Calibri"/>
      <w:sz w:val="22"/>
    </w:rPr>
  </w:style>
  <w:style w:type="paragraph" w:styleId="1025" w:customStyle="1">
    <w:name w:val="ConsPlusTitlePage"/>
    <w:pPr>
      <w:widowControl w:val="off"/>
    </w:pPr>
    <w:rPr>
      <w:rFonts w:ascii="Tahoma" w:hAnsi="Tahoma" w:cs="Tahoma"/>
    </w:rPr>
  </w:style>
  <w:style w:type="paragraph" w:styleId="102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027" w:customStyle="1">
    <w:name w:val="ConsPlusTextList"/>
    <w:pPr>
      <w:widowControl w:val="off"/>
    </w:pPr>
    <w:rPr>
      <w:rFonts w:ascii="Arial" w:hAnsi="Arial" w:cs="Arial"/>
    </w:rPr>
  </w:style>
  <w:style w:type="character" w:styleId="1028">
    <w:name w:val="Placeholder Text"/>
    <w:uiPriority w:val="99"/>
    <w:semiHidden/>
    <w:rPr>
      <w:color w:val="808080"/>
    </w:rPr>
  </w:style>
  <w:style w:type="numbering" w:styleId="1029" w:customStyle="1">
    <w:name w:val="Нет списка10"/>
    <w:next w:val="797"/>
    <w:uiPriority w:val="99"/>
    <w:semiHidden/>
    <w:unhideWhenUsed/>
  </w:style>
  <w:style w:type="paragraph" w:styleId="1030" w:customStyle="1">
    <w:name w:val="Default"/>
    <w:rPr>
      <w:color w:val="000000"/>
      <w:sz w:val="24"/>
      <w:szCs w:val="24"/>
    </w:rPr>
  </w:style>
  <w:style w:type="character" w:styleId="1031">
    <w:name w:val="annotation reference"/>
    <w:rPr>
      <w:sz w:val="16"/>
      <w:szCs w:val="16"/>
    </w:rPr>
  </w:style>
  <w:style w:type="paragraph" w:styleId="1032">
    <w:name w:val="annotation text"/>
    <w:basedOn w:val="785"/>
    <w:link w:val="1033"/>
  </w:style>
  <w:style w:type="character" w:styleId="1033" w:customStyle="1">
    <w:name w:val="Текст примечания Знак"/>
    <w:basedOn w:val="795"/>
    <w:link w:val="1032"/>
  </w:style>
  <w:style w:type="paragraph" w:styleId="1034">
    <w:name w:val="annotation subject"/>
    <w:basedOn w:val="1032"/>
    <w:next w:val="1032"/>
    <w:link w:val="1035"/>
    <w:rPr>
      <w:b/>
      <w:bCs/>
    </w:rPr>
  </w:style>
  <w:style w:type="character" w:styleId="1035" w:customStyle="1">
    <w:name w:val="Тема примечания Знак"/>
    <w:link w:val="1034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18</cp:revision>
  <dcterms:created xsi:type="dcterms:W3CDTF">2024-12-16T11:49:00Z</dcterms:created>
  <dcterms:modified xsi:type="dcterms:W3CDTF">2024-12-28T04:53:58Z</dcterms:modified>
  <cp:version>983040</cp:version>
</cp:coreProperties>
</file>