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right="4959"/>
        <w:keepNext/>
        <w:spacing w:line="240" w:lineRule="exact"/>
        <w:rPr>
          <w:b/>
        </w:rPr>
      </w:pPr>
      <w:r>
        <w:rPr>
          <w:b/>
        </w:rPr>
        <w:t xml:space="preserve">О внесении изменений в приложение 2 к Порядку определения объема </w:t>
      </w:r>
      <w:r>
        <w:rPr>
          <w:b/>
        </w:rPr>
        <w:br/>
        <w:t xml:space="preserve">и условий предоставления субсидий на иные цели бюджетным </w:t>
      </w:r>
      <w:r>
        <w:rPr>
          <w:b/>
        </w:rPr>
        <w:br/>
      </w:r>
      <w:r>
        <w:rPr>
          <w:b/>
        </w:rPr>
        <w:t xml:space="preserve">и автономным 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доступа, утвержденному постановлением администрации города Перми от 14.10.2020 № 9</w:t>
      </w:r>
      <w:r>
        <w:rPr>
          <w:b/>
        </w:rPr>
        <w:t xml:space="preserve">70</w:t>
      </w:r>
      <w:r>
        <w:rPr>
          <w:b/>
        </w:rPr>
      </w:r>
    </w:p>
    <w:p>
      <w:pPr>
        <w:pStyle w:val="920"/>
        <w:ind w:right="5101"/>
        <w:keepNext/>
      </w:pPr>
      <w:r/>
      <w:r/>
    </w:p>
    <w:p>
      <w:pPr>
        <w:ind w:right="5101"/>
        <w:jc w:val="both"/>
        <w:keepNext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5101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изменения в приложение 2 к Порядку определения объема </w:t>
      </w:r>
      <w:r>
        <w:rPr>
          <w:sz w:val="28"/>
        </w:rPr>
        <w:br/>
        <w:t xml:space="preserve">и условий предоставления субсидий на иные цели бюджетным и автономным </w:t>
      </w:r>
      <w:r>
        <w:rPr>
          <w:sz w:val="28"/>
        </w:rPr>
        <w:t xml:space="preserve">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доступа, утвержденному постановлением администрации города Перми от 14 октября 2020 г. № 970 (в</w:t>
      </w:r>
      <w:r>
        <w:rPr>
          <w:sz w:val="28"/>
        </w:rPr>
        <w:t xml:space="preserve"> ред. от 27.10.2020 № 1091, </w:t>
      </w:r>
      <w:r>
        <w:rPr>
          <w:sz w:val="28"/>
        </w:rPr>
        <w:br/>
        <w:t xml:space="preserve">от 28.04.2021 № 314, от 10.08.2021 № 585, от 03.09.2021 № 670, от 24.12.2021 </w:t>
      </w:r>
      <w:r>
        <w:rPr>
          <w:sz w:val="28"/>
        </w:rPr>
        <w:br/>
        <w:t xml:space="preserve">№ 1227, от 28.12.2021 № 1240, от 10.06.2022 № 466, от 05.09.2022 № 745, </w:t>
      </w:r>
      <w:r>
        <w:rPr>
          <w:sz w:val="28"/>
        </w:rPr>
        <w:br/>
        <w:t xml:space="preserve">от 12.12.2022 № 1272, от 02.02.2023 № 68, от 25.04.2023 № 331, от 20.09.2023</w:t>
      </w:r>
      <w:r>
        <w:rPr>
          <w:sz w:val="28"/>
        </w:rPr>
        <w:t xml:space="preserve"> </w:t>
      </w:r>
      <w:r>
        <w:rPr>
          <w:sz w:val="28"/>
        </w:rPr>
        <w:br/>
        <w:t xml:space="preserve">№ 849, от 21.06.2024 № 527, от 17.10.2024 № 906), изложив в редакции согласно приложению к настоящему постановлению. </w:t>
      </w:r>
      <w:r>
        <w:rPr>
          <w:sz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3. Информационно-аналитическому управлению администрации города Перми обеспечить обнародование </w:t>
      </w:r>
      <w:r>
        <w:rPr>
          <w:sz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</w:t>
      </w:r>
      <w:r>
        <w:rPr>
          <w:rStyle w:val="923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</w:rPr>
        <w:t xml:space="preserve">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</w:rPr>
        <w:t xml:space="preserve">в печатном с</w:t>
      </w:r>
      <w:r>
        <w:rPr>
          <w:sz w:val="28"/>
        </w:rPr>
        <w:t xml:space="preserve">редстве массовой информации «Официальный </w:t>
      </w:r>
      <w:r>
        <w:rPr>
          <w:sz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</w:t>
      </w:r>
      <w:r>
        <w:rPr>
          <w:bCs/>
          <w:sz w:val="28"/>
          <w:szCs w:val="28"/>
        </w:rPr>
        <w:t xml:space="preserve">цеву Е.Д. 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709" w:left="1418" w:header="39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br/>
        <w:t xml:space="preserve">к постановлению администрации города Перми</w:t>
      </w:r>
      <w:r>
        <w:rPr>
          <w:sz w:val="28"/>
          <w:szCs w:val="28"/>
        </w:rPr>
      </w:r>
    </w:p>
    <w:p>
      <w:pPr>
        <w:ind w:left="1077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25.12.2024 № 1287</w:t>
      </w:r>
      <w:r>
        <w:rPr>
          <w:sz w:val="28"/>
          <w:szCs w:val="28"/>
        </w:rPr>
      </w:r>
    </w:p>
    <w:p>
      <w:pPr>
        <w:ind w:firstLine="70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ind w:firstLine="70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ind w:firstLine="70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</w:r>
      <w:r>
        <w:rPr>
          <w:b/>
          <w:sz w:val="28"/>
          <w:szCs w:val="24"/>
        </w:rPr>
        <w:br/>
      </w:r>
      <w:r>
        <w:rPr>
          <w:b/>
          <w:sz w:val="28"/>
          <w:szCs w:val="24"/>
        </w:rPr>
        <w:t xml:space="preserve">на иные цели на оборудование зданий муниципальных учреждений средствами беспрепятственного доступа </w:t>
      </w:r>
      <w:r>
        <w:rPr>
          <w:b/>
          <w:sz w:val="28"/>
          <w:szCs w:val="24"/>
        </w:rPr>
        <w:br/>
        <w:t xml:space="preserve">на 2024 год и плановый период 2025 и 2026 годов</w:t>
      </w:r>
      <w:r>
        <w:rPr>
          <w:b/>
          <w:sz w:val="28"/>
          <w:szCs w:val="24"/>
        </w:rPr>
      </w:r>
    </w:p>
    <w:p>
      <w:pPr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8713"/>
        <w:gridCol w:w="1985"/>
        <w:gridCol w:w="1842"/>
        <w:gridCol w:w="1962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Получатели субсидий на иные цели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субсидий на иные цели, тыс. руб.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8712"/>
        <w:gridCol w:w="1986"/>
        <w:gridCol w:w="1842"/>
        <w:gridCol w:w="196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3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4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5</w:t>
            </w:r>
            <w:r>
              <w:rPr>
                <w:color w:val="000000"/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8"/>
                <w:szCs w:val="24"/>
              </w:rPr>
              <w:br/>
              <w:t xml:space="preserve">(далее – МАОУ) «Средняя общеобразовательная школа № 1»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450,1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«Лицей № 4»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4 621,8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3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24»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4 200,0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4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«Гимназия № 33»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7 950,8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5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63»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5 029,932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5 600,7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6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65 с углубленным изучением английского языка»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6 200,1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7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76»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3 316,7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8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101»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3 298,203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9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108»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6 382,0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10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116»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2 950,0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11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120»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3 136,812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12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131»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1 503,536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13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«Средняя общеобразовательная школа № 135</w:t>
            </w:r>
            <w:r>
              <w:t xml:space="preserve"> </w:t>
            </w:r>
            <w:r>
              <w:rPr>
                <w:color w:val="000000"/>
                <w:sz w:val="28"/>
                <w:szCs w:val="24"/>
              </w:rPr>
              <w:t xml:space="preserve">с углубленным изучением предметов образовательной области «Технология» г. 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512,887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14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бюджетное общеобразовательное учреждение «Школа № 154 для обучающихся с ограниченными возможност</w:t>
            </w:r>
            <w:r>
              <w:rPr>
                <w:color w:val="000000"/>
                <w:sz w:val="28"/>
                <w:szCs w:val="24"/>
              </w:rPr>
              <w:t xml:space="preserve">ями здоровья»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2 195,329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15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«СОШ «Петролеум +»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16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«Школа </w:t>
            </w:r>
            <w:r>
              <w:rPr>
                <w:color w:val="000000"/>
                <w:sz w:val="28"/>
                <w:szCs w:val="24"/>
              </w:rPr>
              <w:t xml:space="preserve">агробизнестехнологий</w:t>
            </w:r>
            <w:r>
              <w:rPr>
                <w:color w:val="000000"/>
                <w:sz w:val="28"/>
                <w:szCs w:val="24"/>
              </w:rPr>
              <w:t xml:space="preserve">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1 009,942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3 185,000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17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автономное учреждение дополнительного образования «Центр детского творчества «Сигнал» г. Перми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426,588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Общий размер субсидий на иные цели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21 503,229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19 554,5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21 102,7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39"/>
    <w:link w:val="753"/>
    <w:uiPriority w:val="10"/>
    <w:rPr>
      <w:sz w:val="48"/>
      <w:szCs w:val="48"/>
    </w:rPr>
  </w:style>
  <w:style w:type="character" w:styleId="724">
    <w:name w:val="Subtitle Char"/>
    <w:basedOn w:val="739"/>
    <w:link w:val="755"/>
    <w:uiPriority w:val="11"/>
    <w:rPr>
      <w:sz w:val="24"/>
      <w:szCs w:val="24"/>
    </w:rPr>
  </w:style>
  <w:style w:type="character" w:styleId="725">
    <w:name w:val="Quote Char"/>
    <w:link w:val="757"/>
    <w:uiPriority w:val="29"/>
    <w:rPr>
      <w:i/>
    </w:rPr>
  </w:style>
  <w:style w:type="character" w:styleId="726">
    <w:name w:val="Intense Quote Char"/>
    <w:link w:val="759"/>
    <w:uiPriority w:val="30"/>
    <w:rPr>
      <w:i/>
    </w:rPr>
  </w:style>
  <w:style w:type="character" w:styleId="727">
    <w:name w:val="Footnote Text Char"/>
    <w:link w:val="889"/>
    <w:uiPriority w:val="99"/>
    <w:rPr>
      <w:sz w:val="18"/>
    </w:rPr>
  </w:style>
  <w:style w:type="character" w:styleId="728">
    <w:name w:val="Endnote Text Char"/>
    <w:link w:val="892"/>
    <w:uiPriority w:val="99"/>
    <w:rPr>
      <w:sz w:val="20"/>
    </w:rPr>
  </w:style>
  <w:style w:type="paragraph" w:styleId="729" w:default="1">
    <w:name w:val="Normal"/>
    <w:qFormat/>
  </w:style>
  <w:style w:type="paragraph" w:styleId="730">
    <w:name w:val="Heading 1"/>
    <w:basedOn w:val="729"/>
    <w:next w:val="729"/>
    <w:link w:val="906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907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</w:pPr>
  </w:style>
  <w:style w:type="paragraph" w:styleId="752">
    <w:name w:val="No Spacing"/>
    <w:uiPriority w:val="1"/>
    <w:qFormat/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basedOn w:val="739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basedOn w:val="739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39"/>
    <w:uiPriority w:val="99"/>
  </w:style>
  <w:style w:type="character" w:styleId="762" w:customStyle="1">
    <w:name w:val="Footer Char"/>
    <w:basedOn w:val="739"/>
    <w:uiPriority w:val="99"/>
  </w:style>
  <w:style w:type="character" w:styleId="763" w:customStyle="1">
    <w:name w:val="Caption Char"/>
    <w:uiPriority w:val="99"/>
  </w:style>
  <w:style w:type="table" w:styleId="764" w:customStyle="1">
    <w:name w:val="Table Grid Light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4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4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4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4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4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4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4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4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4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4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4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4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4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4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9">
    <w:name w:val="footnote text"/>
    <w:basedOn w:val="729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39"/>
    <w:uiPriority w:val="99"/>
    <w:unhideWhenUsed/>
    <w:rPr>
      <w:vertAlign w:val="superscript"/>
    </w:rPr>
  </w:style>
  <w:style w:type="paragraph" w:styleId="892">
    <w:name w:val="endnote text"/>
    <w:basedOn w:val="729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9"/>
    <w:uiPriority w:val="99"/>
    <w:semiHidden/>
    <w:unhideWhenUsed/>
    <w:rPr>
      <w:vertAlign w:val="superscript"/>
    </w:rPr>
  </w:style>
  <w:style w:type="paragraph" w:styleId="895">
    <w:name w:val="toc 1"/>
    <w:basedOn w:val="729"/>
    <w:next w:val="729"/>
    <w:uiPriority w:val="39"/>
    <w:unhideWhenUsed/>
    <w:pPr>
      <w:spacing w:after="57"/>
    </w:pPr>
  </w:style>
  <w:style w:type="paragraph" w:styleId="896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897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898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899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0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1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2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3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29"/>
    <w:next w:val="729"/>
    <w:uiPriority w:val="99"/>
    <w:unhideWhenUsed/>
  </w:style>
  <w:style w:type="character" w:styleId="906" w:customStyle="1">
    <w:name w:val="Заголовок 1 Знак"/>
    <w:link w:val="730"/>
    <w:rPr>
      <w:sz w:val="24"/>
    </w:rPr>
  </w:style>
  <w:style w:type="character" w:styleId="907" w:customStyle="1">
    <w:name w:val="Заголовок 2 Знак"/>
    <w:link w:val="731"/>
    <w:rPr>
      <w:sz w:val="24"/>
    </w:rPr>
  </w:style>
  <w:style w:type="paragraph" w:styleId="908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Body Text"/>
    <w:basedOn w:val="729"/>
    <w:link w:val="910"/>
    <w:pPr>
      <w:ind w:right="3117"/>
    </w:pPr>
    <w:rPr>
      <w:rFonts w:ascii="Courier New" w:hAnsi="Courier New"/>
      <w:sz w:val="26"/>
    </w:rPr>
  </w:style>
  <w:style w:type="character" w:styleId="910" w:customStyle="1">
    <w:name w:val="Основной текст Знак"/>
    <w:link w:val="909"/>
    <w:rPr>
      <w:rFonts w:ascii="Courier New" w:hAnsi="Courier New"/>
      <w:sz w:val="26"/>
    </w:rPr>
  </w:style>
  <w:style w:type="paragraph" w:styleId="911">
    <w:name w:val="Body Text Indent"/>
    <w:basedOn w:val="729"/>
    <w:link w:val="912"/>
    <w:pPr>
      <w:ind w:right="-1"/>
      <w:jc w:val="both"/>
    </w:pPr>
    <w:rPr>
      <w:sz w:val="26"/>
    </w:rPr>
  </w:style>
  <w:style w:type="character" w:styleId="912" w:customStyle="1">
    <w:name w:val="Основной текст с отступом Знак"/>
    <w:link w:val="911"/>
    <w:rPr>
      <w:sz w:val="26"/>
    </w:rPr>
  </w:style>
  <w:style w:type="paragraph" w:styleId="913">
    <w:name w:val="Footer"/>
    <w:basedOn w:val="729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914" w:customStyle="1">
    <w:name w:val="Нижний колонтитул Знак"/>
    <w:basedOn w:val="739"/>
    <w:link w:val="913"/>
    <w:uiPriority w:val="99"/>
  </w:style>
  <w:style w:type="character" w:styleId="915">
    <w:name w:val="page number"/>
    <w:basedOn w:val="739"/>
  </w:style>
  <w:style w:type="paragraph" w:styleId="916">
    <w:name w:val="Header"/>
    <w:basedOn w:val="729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917" w:customStyle="1">
    <w:name w:val="Верхний колонтитул Знак"/>
    <w:link w:val="916"/>
    <w:uiPriority w:val="99"/>
  </w:style>
  <w:style w:type="paragraph" w:styleId="918">
    <w:name w:val="Balloon Text"/>
    <w:basedOn w:val="729"/>
    <w:link w:val="919"/>
    <w:rPr>
      <w:rFonts w:ascii="Segoe UI" w:hAnsi="Segoe UI"/>
      <w:sz w:val="18"/>
      <w:szCs w:val="18"/>
    </w:rPr>
  </w:style>
  <w:style w:type="character" w:styleId="919" w:customStyle="1">
    <w:name w:val="Текст выноски Знак"/>
    <w:link w:val="918"/>
    <w:rPr>
      <w:rFonts w:ascii="Segoe UI" w:hAnsi="Segoe UI" w:cs="Segoe UI"/>
      <w:sz w:val="18"/>
      <w:szCs w:val="18"/>
    </w:rPr>
  </w:style>
  <w:style w:type="paragraph" w:styleId="920" w:customStyle="1">
    <w:name w:val="Форма"/>
    <w:rPr>
      <w:sz w:val="28"/>
      <w:szCs w:val="28"/>
    </w:rPr>
  </w:style>
  <w:style w:type="paragraph" w:styleId="92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2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23">
    <w:name w:val="Hyperlink"/>
    <w:uiPriority w:val="99"/>
    <w:unhideWhenUsed/>
    <w:rPr>
      <w:color w:val="0000ff"/>
      <w:u w:val="single"/>
    </w:rPr>
  </w:style>
  <w:style w:type="table" w:styleId="924">
    <w:name w:val="Table Grid"/>
    <w:basedOn w:val="74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F56C-6901-44F0-B769-EFE66EC0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27</cp:revision>
  <dcterms:created xsi:type="dcterms:W3CDTF">2023-08-16T04:50:00Z</dcterms:created>
  <dcterms:modified xsi:type="dcterms:W3CDTF">2024-12-25T11:44:13Z</dcterms:modified>
</cp:coreProperties>
</file>