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-499745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6"/>
                                  <w:lang w:val="en-US"/>
                                </w:rPr>
                              </w:pP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6"/>
                            <w:lang w:val="en-US"/>
                          </w:rPr>
                        </w:pP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09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5095"/>
        <w:spacing w:line="240" w:lineRule="exact"/>
        <w:rPr>
          <w:b/>
          <w:bCs/>
        </w:rPr>
      </w:pPr>
      <w:r>
        <w:rPr>
          <w:b/>
        </w:rPr>
        <w:t xml:space="preserve">Об утверждении Порядка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5095"/>
        <w:spacing w:line="240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5095"/>
        <w:spacing w:line="240" w:lineRule="exact"/>
        <w:rPr>
          <w:b/>
          <w:bCs/>
        </w:rPr>
      </w:pPr>
      <w:r>
        <w:rPr>
          <w:b/>
        </w:rPr>
        <w:t xml:space="preserve">предоставления субсидии на иные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5095"/>
        <w:spacing w:line="240" w:lineRule="exact"/>
        <w:rPr>
          <w:b/>
          <w:bCs/>
        </w:rPr>
      </w:pPr>
      <w:r>
        <w:rPr>
          <w:b/>
        </w:rPr>
        <w:t xml:space="preserve">цели на дополнительные средства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5095"/>
        <w:spacing w:line="240" w:lineRule="exact"/>
        <w:rPr>
          <w:b/>
        </w:rPr>
      </w:pPr>
      <w:r>
        <w:rPr>
          <w:b/>
        </w:rPr>
        <w:t xml:space="preserve">на оплату коммунальных услуг</w:t>
      </w:r>
      <w:r>
        <w:rPr>
          <w:b/>
        </w:rPr>
      </w:r>
      <w:r>
        <w:rPr>
          <w:b/>
        </w:rPr>
      </w:r>
    </w:p>
    <w:p>
      <w:pPr>
        <w:pStyle w:val="915"/>
        <w:ind w:right="5095"/>
        <w:spacing w:line="240" w:lineRule="exact"/>
        <w:rPr>
          <w:b/>
          <w:bCs/>
        </w:rPr>
      </w:pPr>
      <w:r>
        <w:rPr>
          <w:b/>
        </w:rPr>
        <w:t xml:space="preserve">МАУ ДО «СШ «Спартак» г.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5095"/>
        <w:spacing w:line="240" w:lineRule="exact"/>
      </w:pPr>
      <w:r/>
      <w:r/>
    </w:p>
    <w:p>
      <w:pPr>
        <w:pStyle w:val="915"/>
        <w:ind w:right="5095"/>
        <w:spacing w:line="240" w:lineRule="exact"/>
      </w:pPr>
      <w:r/>
      <w:r/>
    </w:p>
    <w:p>
      <w:pPr>
        <w:pStyle w:val="915"/>
        <w:ind w:right="5095"/>
        <w:spacing w:line="240" w:lineRule="exact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  <w:szCs w:val="28"/>
        </w:rPr>
        <w:t xml:space="preserve">абзацем вторым пункта 1 статьи 78.1 Бюджетного кодекса Российской Федерации, постановлением Правительства Российской Федерации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b/>
          <w:bCs/>
        </w:rPr>
      </w:pPr>
      <w:r>
        <w:t xml:space="preserve">1. Утвердить прилагаемый Порядок определения объема и условий предоставления субсидии на иные цели на дополнительные средства на оплату коммунальных услуг МАУ ДО «СШ «Спартак» г. Перми.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918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25.12.2024 № 1296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916"/>
        <w:contextualSpacing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6"/>
        <w:contextualSpacing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6"/>
        <w:contextualSpacing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6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субсидии на иные цели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7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дополнительные средства на оплату коммунальных услуг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7"/>
        <w:contextualSpacing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МАУ ДО «СШ «Спартак» г.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7"/>
        <w:contextualSpacing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6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 о предоставлении субсидии на иные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</w:t>
      </w:r>
      <w:r>
        <w:rPr>
          <w:rFonts w:ascii="Times New Roman" w:hAnsi="Times New Roman" w:cs="Times New Roman"/>
          <w:sz w:val="28"/>
          <w:szCs w:val="28"/>
        </w:rPr>
        <w:t xml:space="preserve">еделяет объем и условия предоставления субсидии на иные цели на дополнительные средства на оплату коммунальных услуг МАУ ДО «СШ «Спартак» г. Перми, в отношении которого комитет по физической культуре и спорту администрации города Перми осуществляет функции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полномочия учредителя (далее – Порядок, субсидия на иные цели, Учреждение, комитет).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Получателем субсидии на иные цели является Учреждение согласно приложению 1 к настоящему Порядку, устанавливающему размер субсидии на иные цели на текущий финансовый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Целью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субсидии на иные цели является оплата коммунальных услуг в отношении имущества, принадлежащего Учреждению на праве оперативного управления, в рамках выполнения мероприятий муниципальной программы «Развитие физической культуры и спорта города Перми».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Субсидия на иные цели направляется на оплату электроэнергии, водоотведения, водоснабжения, тепловой энергии, негативного воздействия на работу центральной системы водоотведения.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Субсидия на иные цели предоставляется Учреждению в пределах бюджетных ассигнований, утвержденных решением Пермской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  <w:t xml:space="preserve">о бюджете города Перми на 2024 год, в рамках реализации мероприятий муниципальной программы «Развитие физической культуры и спорта города Перми».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jc w:val="center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Условия и порядок предоставления субсидии на иные цели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субсидии на иные цели Учреждение представляет </w:t>
      </w:r>
      <w:r>
        <w:rPr>
          <w:sz w:val="28"/>
          <w:szCs w:val="28"/>
        </w:rPr>
        <w:br/>
        <w:t xml:space="preserve">на бумажном носителе в комитет: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расчет-обоснование предоставления субсидии на иные цели на дополнительные средства на оплату коммунальных услуг, включая расчеты коммунальных услуг, согласно приложению 2 к настоящему Порядку с подтверждающими документами.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 01 число месяца, предшествующего месяцу, в котором планируется заключение соглашения о предоставлении субсидии на иные цели, Учреждение должно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субсидии,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Рассмотрение и проверка документов, предусмотренных пунктом 2.1 настоящего Порядка, на полноту их представления осуществляются комитетом в течение 10 рабочих дней с даты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</w:t>
      </w:r>
      <w:r>
        <w:rPr>
          <w:sz w:val="28"/>
          <w:szCs w:val="28"/>
        </w:rPr>
        <w:br/>
        <w:t xml:space="preserve">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субсидии на иные цели комитет уведомляет Учреждение о принятом решении. Учреждение вправе повторно представить в комитет документы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субсидии на иные цели определяется на основании фактических и планируемых затрат на оплату коммунальных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субсидии на иные цели на 2024 год устанавливается приложением 1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2.7. Субсидия на иные цели предоставляется в соответствии с</w:t>
      </w:r>
      <w:r>
        <w:rPr>
          <w:sz w:val="28"/>
          <w:szCs w:val="28"/>
        </w:rPr>
        <w:t xml:space="preserve"> соглашением о предоставлении субсидии из бюджета города Перми (далее – Соглашение), заключенным между комитетом и Учреждением по типовой форме,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2.2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на предоставление субсидии на иные цели в решении Пермской городской Думы о бюджете города Перми на текущий финансовый год, в муниципальной программе «Развитие физической культуры и спорта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«Разв</w:t>
      </w:r>
      <w:r>
        <w:rPr>
          <w:sz w:val="28"/>
          <w:szCs w:val="28"/>
        </w:rPr>
        <w:t xml:space="preserve">итие физической культуры и спорта города Перми»,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документы и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Учреждению в сроки, установленные Соглашением. Периодичность перечисления субсидии на иные цели – </w:t>
      </w:r>
      <w:r>
        <w:rPr>
          <w:sz w:val="28"/>
          <w:szCs w:val="28"/>
        </w:rPr>
        <w:br/>
        <w:t xml:space="preserve">в течение года после представления документов, подтверждающих возникновение денежных обязательств.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Субсидии на иные цели Учреждению предоставляются путем перечисления комитетом денежных средств на отдельные лицевые счета Учреждения, открытые в департаменте финансов администрации города Перми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Средства, предоставляемые Учреждению в виде субсидии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2.13. Результатом предоставления субсидии на иные цели является наличие (отсутствие) кредиторской задолженности по расходам на коммунальные услуги в рамках выполнения муниципальной программы «Развитие физической культуры и спорта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Учреждение представляет в комитет в установленные настоящим Порядком сроки следующую отчетность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</w:t>
      </w:r>
      <w:r>
        <w:rPr>
          <w:color w:val="000000" w:themeColor="text1"/>
          <w:sz w:val="28"/>
          <w:szCs w:val="28"/>
        </w:rPr>
        <w:t xml:space="preserve">ет</w:t>
      </w:r>
      <w:r>
        <w:rPr>
          <w:sz w:val="28"/>
          <w:szCs w:val="28"/>
        </w:rPr>
        <w:t xml:space="preserve">ся субсидия на иные цели, по форме согласно приложению 5 к типовой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 по форме согласно приложению 6 к типовой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</w:t>
      </w:r>
      <w:r>
        <w:rPr>
          <w:sz w:val="28"/>
          <w:szCs w:val="28"/>
        </w:rPr>
        <w:br/>
        <w:t xml:space="preserve">предоставления субсидии на иные цели по форме согласно приложению 7 к типовой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Отчеты представляются Учреждением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иные цели не позднее 25-го декабря текущего года (годовой отчет);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</w:t>
      </w:r>
      <w:bookmarkStart w:id="0" w:name="_GoBack"/>
      <w:r/>
      <w:bookmarkEnd w:id="0"/>
      <w:r>
        <w:rPr>
          <w:sz w:val="28"/>
          <w:szCs w:val="28"/>
        </w:rPr>
        <w:t xml:space="preserve">о обеспечения которых явля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субсиди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 иные цели, не позднее 25-го декабря текущего года (годовой отчет);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не позднее 25-го декабря текущего года (годовой отчет).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своевременностью представления Отчетов</w:t>
      </w:r>
      <w:r>
        <w:rPr>
          <w:sz w:val="28"/>
          <w:szCs w:val="28"/>
        </w:rPr>
        <w:br/>
        <w:t xml:space="preserve">и достоверностью отчетных данных возлагается на руководителя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осуществления контроля за соблюдением целей, условий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порядка предоставления субсидии на иные цели и ответственность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Комитет и орган муниципального финансового контроля осуществляют обязательную проверку соблюдения целей и условий предоставления Учреждению субсидии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 несоблюдение целей и условий их предоставления, установленных настоящим Порядком.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</w:t>
      </w:r>
      <w:r>
        <w:rPr>
          <w:sz w:val="28"/>
          <w:szCs w:val="28"/>
        </w:rPr>
        <w:t xml:space="preserve">ием целей и условий, установленных при предоставлении субсидии на иные цели, выявленных по результатам проверок, проведенных комитетом и органом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комитета – в течение 30 календарных дней </w:t>
      </w:r>
      <w:r>
        <w:rPr>
          <w:sz w:val="28"/>
          <w:szCs w:val="28"/>
        </w:rPr>
        <w:br/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требований о возврате субсидии </w:t>
      </w:r>
      <w:r>
        <w:rPr>
          <w:sz w:val="28"/>
          <w:szCs w:val="28"/>
        </w:rPr>
        <w:br/>
        <w:t xml:space="preserve">на иные цели комитет обеспечивает взыскание субсидии на иные цели в судебном порядке в соответствии с действующим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субсидии на иные цели, установленного пунктом 2.13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  <w:szCs w:val="28"/>
        </w:rPr>
        <w:br/>
        <w:t xml:space="preserve">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bookmarkStart w:id="1" w:name="p1"/>
      <w:r/>
      <w:bookmarkEnd w:id="1"/>
      <w:r>
        <w:rPr>
          <w:sz w:val="28"/>
          <w:szCs w:val="28"/>
        </w:rPr>
        <w:t xml:space="preserve">Остатки субсидии на иные цели по состоянию на 01 января очередного финансового года, не использованные в текущем финансовом году, подлежат перечислению Учреждением в доход бюджета города Перми не позднее первых </w:t>
      </w:r>
      <w:r>
        <w:rPr>
          <w:sz w:val="28"/>
          <w:szCs w:val="28"/>
        </w:rPr>
        <w:br/>
        <w:t xml:space="preserve">4 рабочих дней очередного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субсидии </w:t>
      </w:r>
      <w:r>
        <w:rPr>
          <w:sz w:val="28"/>
          <w:szCs w:val="28"/>
        </w:rPr>
        <w:t xml:space="preserve">на иные цели, перечисленные Учреждению в доход бюджета города Перми, возвращаются Учреждению в очередном финансовом году при наличии потребности в направлении их на те же цели в соответствии с решением комитета, оформленным приказом председателя комитета.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/>
      <w:bookmarkStart w:id="2" w:name="p3"/>
      <w:r/>
      <w:bookmarkEnd w:id="2"/>
      <w:r>
        <w:rPr>
          <w:sz w:val="28"/>
          <w:szCs w:val="28"/>
        </w:rPr>
        <w:t xml:space="preserve">Решение о возврате остатков субсидии на иные цели принимается комитетом по итогам рассмотрения запроса Учреждения, представленного в комитет </w:t>
      </w:r>
      <w:r>
        <w:rPr>
          <w:sz w:val="28"/>
          <w:szCs w:val="28"/>
        </w:rPr>
        <w:br/>
        <w:t xml:space="preserve">до </w:t>
      </w:r>
      <w:r>
        <w:rPr>
          <w:color w:val="000000" w:themeColor="text1"/>
          <w:sz w:val="28"/>
          <w:szCs w:val="28"/>
        </w:rPr>
        <w:t xml:space="preserve">0</w:t>
      </w:r>
      <w:r>
        <w:rPr>
          <w:sz w:val="28"/>
          <w:szCs w:val="28"/>
        </w:rPr>
        <w:t xml:space="preserve">1 февраля текущего года и отражающего причины образования неиспользованных остатков и нео</w:t>
      </w:r>
      <w:r>
        <w:rPr>
          <w:sz w:val="28"/>
          <w:szCs w:val="28"/>
        </w:rPr>
        <w:t xml:space="preserve">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Комитет принимает решение о возврате остатков субсидии на иные цели в течение 20 рабочих дней с момента поступления указанной в </w:t>
      </w:r>
      <w:hyperlink w:tooltip="#p3" w:anchor="p3" w:history="1">
        <w:r>
          <w:rPr>
            <w:sz w:val="28"/>
            <w:szCs w:val="28"/>
          </w:rPr>
          <w:t xml:space="preserve">абзаце третьем</w:t>
        </w:r>
      </w:hyperlink>
      <w:r>
        <w:rPr>
          <w:sz w:val="28"/>
          <w:szCs w:val="28"/>
        </w:rPr>
        <w:t xml:space="preserve"> настоящего пункта информации, но не позднее 20 мая текущего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субсидии на иные цели, они считаются неподтвержденными и не подлежат возврату Учреждению.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субсидии на иные цели не перечислены Учреждением в доход бюджета города Перми в сроки, установленные </w:t>
      </w:r>
      <w:hyperlink w:tooltip="#p1" w:anchor="p1" w:history="1">
        <w:r>
          <w:rPr>
            <w:sz w:val="28"/>
            <w:szCs w:val="28"/>
          </w:rPr>
          <w:t xml:space="preserve">абзацем первым</w:t>
        </w:r>
      </w:hyperlink>
      <w:r>
        <w:rPr>
          <w:sz w:val="28"/>
          <w:szCs w:val="28"/>
        </w:rPr>
        <w:t xml:space="preserve"> настоящего пункта, то они подлежат взысканию в установленном порядке.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</w:t>
      </w:r>
      <w:r>
        <w:rPr>
          <w:sz w:val="28"/>
          <w:szCs w:val="28"/>
        </w:rPr>
        <w:t xml:space="preserve">ели, для достижения целей, установленных при предоставлении субсидии на иные цели, комитет в течение 30 рабочих дней с момента их поступления в Учреждение принимает решение путем издания приказа об использовании в текущем финансовом году указанных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 комитета об исп</w:t>
      </w:r>
      <w:r>
        <w:rPr>
          <w:sz w:val="28"/>
          <w:szCs w:val="28"/>
        </w:rPr>
        <w:t xml:space="preserve">ользовании в текущем финансовом году указанных средств принимается при наличии потребности Учреждения по итогам рассмотрения запросов, представленных Учреждением в комитет в течение 5 рабочих дней с момента поступления средств в Учреждение и отражающих нео</w:t>
      </w:r>
      <w:r>
        <w:rPr>
          <w:sz w:val="28"/>
          <w:szCs w:val="28"/>
        </w:rPr>
        <w:t xml:space="preserve">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454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субсидии на иные цели на дополнительные средства на оплату коммунальных услуг МАУ ДО «СШ «Спартак»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г.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59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-2"/>
        <w:jc w:val="center"/>
        <w:spacing w:line="240" w:lineRule="exact"/>
        <w:rPr>
          <w:b/>
        </w:rPr>
      </w:pPr>
      <w:r>
        <w:rPr>
          <w:b/>
        </w:rPr>
        <w:t xml:space="preserve">на иные цели на дополнительные средства на оплату коммунальных услуг МАУ ДО «СШ «Спартак» г. Перми на 2024 год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471"/>
        <w:gridCol w:w="3956"/>
      </w:tblGrid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471" w:type="dxa"/>
            <w:textDirection w:val="lrTb"/>
            <w:noWrap w:val="false"/>
          </w:tcPr>
          <w:p>
            <w:pPr>
              <w:jc w:val="center"/>
              <w:tabs>
                <w:tab w:val="left" w:pos="1380" w:leader="none"/>
                <w:tab w:val="center" w:pos="241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муниципального </w:t>
            </w:r>
            <w:r>
              <w:rPr>
                <w:rFonts w:eastAsia="Calibri"/>
                <w:sz w:val="28"/>
                <w:szCs w:val="28"/>
              </w:rPr>
              <w:br/>
              <w:t xml:space="preserve">учреждения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Расчетные показатели,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тыс. руб.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471" w:type="dxa"/>
            <w:textDirection w:val="lrTb"/>
            <w:noWrap w:val="false"/>
          </w:tcPr>
          <w:p>
            <w:pPr>
              <w:jc w:val="center"/>
              <w:tabs>
                <w:tab w:val="left" w:pos="1380" w:leader="none"/>
                <w:tab w:val="center" w:pos="241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4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«СШ «Спартак»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3 439,850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95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3 439,850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sectPr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субсидии на иные цели на дополнительные средства на оплату коммунальных услуг МАУ ДО «СШ «Спартак»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г.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540"/>
        <w:jc w:val="both"/>
        <w:spacing w:before="168" w:beforeAutospacing="0" w:after="0" w:afterAutospacing="0" w:line="288" w:lineRule="atLeast"/>
      </w:pPr>
      <w:r>
        <w:t xml:space="preserve"> </w:t>
      </w:r>
      <w:r/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  <w:r>
        <w:rPr>
          <w:b/>
          <w:sz w:val="28"/>
          <w:szCs w:val="28"/>
        </w:rPr>
        <w:br/>
        <w:t xml:space="preserve">суммы субсидии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20___ год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6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показателя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Сумма субсидии на иные цели, руб.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76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1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6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коммунальные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6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6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6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6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энергия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76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негативное воздействие на работу центральной системы водоотведения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819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субсидии,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учреждения          ________________________________________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«___» ___________ _____г.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М.П.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5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</w:style>
  <w:style w:type="paragraph" w:styleId="712">
    <w:name w:val="Heading 1"/>
    <w:basedOn w:val="711"/>
    <w:next w:val="711"/>
    <w:link w:val="901"/>
    <w:qFormat/>
    <w:pPr>
      <w:ind w:right="-1" w:firstLine="709"/>
      <w:jc w:val="both"/>
      <w:keepNext/>
      <w:outlineLvl w:val="0"/>
    </w:pPr>
    <w:rPr>
      <w:sz w:val="24"/>
    </w:rPr>
  </w:style>
  <w:style w:type="paragraph" w:styleId="713">
    <w:name w:val="Heading 2"/>
    <w:basedOn w:val="711"/>
    <w:next w:val="711"/>
    <w:link w:val="902"/>
    <w:qFormat/>
    <w:pPr>
      <w:ind w:right="-1"/>
      <w:jc w:val="both"/>
      <w:keepNext/>
      <w:outlineLvl w:val="1"/>
    </w:pPr>
    <w:rPr>
      <w:sz w:val="24"/>
    </w:rPr>
  </w:style>
  <w:style w:type="paragraph" w:styleId="714">
    <w:name w:val="Heading 3"/>
    <w:basedOn w:val="711"/>
    <w:next w:val="711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1"/>
    <w:uiPriority w:val="10"/>
    <w:rPr>
      <w:sz w:val="48"/>
      <w:szCs w:val="48"/>
    </w:rPr>
  </w:style>
  <w:style w:type="character" w:styleId="732" w:customStyle="1">
    <w:name w:val="Subtitle Char"/>
    <w:basedOn w:val="721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11"/>
    <w:uiPriority w:val="34"/>
    <w:qFormat/>
    <w:pPr>
      <w:contextualSpacing/>
      <w:ind w:left="720"/>
    </w:pPr>
  </w:style>
  <w:style w:type="paragraph" w:styleId="747">
    <w:name w:val="No Spacing"/>
    <w:uiPriority w:val="1"/>
    <w:qFormat/>
  </w:style>
  <w:style w:type="paragraph" w:styleId="748">
    <w:name w:val="Title"/>
    <w:basedOn w:val="711"/>
    <w:next w:val="711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basedOn w:val="721"/>
    <w:link w:val="748"/>
    <w:uiPriority w:val="10"/>
    <w:rPr>
      <w:sz w:val="48"/>
      <w:szCs w:val="48"/>
    </w:rPr>
  </w:style>
  <w:style w:type="paragraph" w:styleId="750">
    <w:name w:val="Subtitle"/>
    <w:basedOn w:val="711"/>
    <w:next w:val="711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basedOn w:val="721"/>
    <w:link w:val="750"/>
    <w:uiPriority w:val="11"/>
    <w:rPr>
      <w:sz w:val="24"/>
      <w:szCs w:val="24"/>
    </w:rPr>
  </w:style>
  <w:style w:type="paragraph" w:styleId="752">
    <w:name w:val="Quote"/>
    <w:basedOn w:val="711"/>
    <w:next w:val="711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1"/>
    <w:next w:val="711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21"/>
    <w:uiPriority w:val="99"/>
  </w:style>
  <w:style w:type="character" w:styleId="757" w:customStyle="1">
    <w:name w:val="Footer Char"/>
    <w:basedOn w:val="721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2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8" w:customStyle="1">
    <w:name w:val="Grid Table 4 - Accent 2"/>
    <w:basedOn w:val="72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Grid Table 4 - Accent 3"/>
    <w:basedOn w:val="72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0" w:customStyle="1">
    <w:name w:val="Grid Table 4 - Accent 4"/>
    <w:basedOn w:val="72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Grid Table 4 - Accent 5"/>
    <w:basedOn w:val="72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2" w:customStyle="1">
    <w:name w:val="Grid Table 4 - Accent 6"/>
    <w:basedOn w:val="72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3">
    <w:name w:val="Grid Table 5 Dark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2" w:customStyle="1">
    <w:name w:val="Grid Table 6 Colorful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3" w:customStyle="1">
    <w:name w:val="Grid Table 6 Colorful - Accent 3"/>
    <w:basedOn w:val="72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4" w:customStyle="1">
    <w:name w:val="Grid Table 6 Colorful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5" w:customStyle="1">
    <w:name w:val="Grid Table 6 Colorful - Accent 5"/>
    <w:basedOn w:val="72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Grid Table 6 Colorful - Accent 6"/>
    <w:basedOn w:val="72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>
    <w:name w:val="Grid Table 7 Colorful"/>
    <w:basedOn w:val="7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2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2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2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2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2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2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2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2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2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2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2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2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2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2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2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2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1" w:customStyle="1">
    <w:name w:val="List Table 6 Colorful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List Table 6 Colorful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3" w:customStyle="1">
    <w:name w:val="List Table 6 Colorful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List Table 6 Colorful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5" w:customStyle="1">
    <w:name w:val="List Table 6 Colorful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6">
    <w:name w:val="List Table 7 Colorful"/>
    <w:basedOn w:val="7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2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2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2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2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2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2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Lined - Accent 2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Lined - Accent 3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Lined - Accent 4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Lined - Accent 5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Lined - Accent 6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 &amp; Lined - Accent"/>
    <w:basedOn w:val="72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2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2" w:customStyle="1">
    <w:name w:val="Bordered &amp; Lined - Accent 2"/>
    <w:basedOn w:val="72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Bordered &amp; Lined - Accent 3"/>
    <w:basedOn w:val="72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Bordered &amp; Lined - Accent 4"/>
    <w:basedOn w:val="72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Bordered &amp; Lined - Accent 5"/>
    <w:basedOn w:val="72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6" w:customStyle="1">
    <w:name w:val="Bordered &amp; Lined - Accent 6"/>
    <w:basedOn w:val="72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"/>
    <w:basedOn w:val="72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9" w:customStyle="1">
    <w:name w:val="Bordered - Accent 2"/>
    <w:basedOn w:val="7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0" w:customStyle="1">
    <w:name w:val="Bordered - Accent 3"/>
    <w:basedOn w:val="7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1" w:customStyle="1">
    <w:name w:val="Bordered - Accent 4"/>
    <w:basedOn w:val="7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2" w:customStyle="1">
    <w:name w:val="Bordered - Accent 5"/>
    <w:basedOn w:val="7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3" w:customStyle="1">
    <w:name w:val="Bordered - Accent 6"/>
    <w:basedOn w:val="7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4">
    <w:name w:val="footnote text"/>
    <w:basedOn w:val="711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1"/>
    <w:uiPriority w:val="99"/>
    <w:unhideWhenUsed/>
    <w:rPr>
      <w:vertAlign w:val="superscript"/>
    </w:rPr>
  </w:style>
  <w:style w:type="paragraph" w:styleId="887">
    <w:name w:val="endnote text"/>
    <w:basedOn w:val="711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1"/>
    <w:uiPriority w:val="99"/>
    <w:semiHidden/>
    <w:unhideWhenUsed/>
    <w:rPr>
      <w:vertAlign w:val="superscript"/>
    </w:rPr>
  </w:style>
  <w:style w:type="paragraph" w:styleId="890">
    <w:name w:val="toc 1"/>
    <w:basedOn w:val="711"/>
    <w:next w:val="711"/>
    <w:uiPriority w:val="39"/>
    <w:unhideWhenUsed/>
    <w:pPr>
      <w:spacing w:after="57"/>
    </w:pPr>
  </w:style>
  <w:style w:type="paragraph" w:styleId="891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92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3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4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5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6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7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8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1"/>
    <w:next w:val="711"/>
    <w:uiPriority w:val="99"/>
    <w:unhideWhenUsed/>
  </w:style>
  <w:style w:type="character" w:styleId="901" w:customStyle="1">
    <w:name w:val="Заголовок 1 Знак"/>
    <w:link w:val="712"/>
    <w:rPr>
      <w:sz w:val="24"/>
    </w:rPr>
  </w:style>
  <w:style w:type="character" w:styleId="902" w:customStyle="1">
    <w:name w:val="Заголовок 2 Знак"/>
    <w:link w:val="713"/>
    <w:rPr>
      <w:sz w:val="24"/>
    </w:rPr>
  </w:style>
  <w:style w:type="paragraph" w:styleId="903">
    <w:name w:val="Caption"/>
    <w:basedOn w:val="711"/>
    <w:next w:val="7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711"/>
    <w:link w:val="905"/>
    <w:pPr>
      <w:ind w:right="3117"/>
    </w:pPr>
    <w:rPr>
      <w:rFonts w:ascii="Courier New" w:hAnsi="Courier New"/>
      <w:sz w:val="26"/>
    </w:rPr>
  </w:style>
  <w:style w:type="character" w:styleId="905" w:customStyle="1">
    <w:name w:val="Основной текст Знак"/>
    <w:link w:val="904"/>
    <w:rPr>
      <w:rFonts w:ascii="Courier New" w:hAnsi="Courier New"/>
      <w:sz w:val="26"/>
    </w:rPr>
  </w:style>
  <w:style w:type="paragraph" w:styleId="906">
    <w:name w:val="Body Text Indent"/>
    <w:basedOn w:val="711"/>
    <w:link w:val="907"/>
    <w:pPr>
      <w:ind w:right="-1"/>
      <w:jc w:val="both"/>
    </w:pPr>
    <w:rPr>
      <w:sz w:val="26"/>
    </w:rPr>
  </w:style>
  <w:style w:type="character" w:styleId="907" w:customStyle="1">
    <w:name w:val="Основной текст с отступом Знак"/>
    <w:link w:val="906"/>
    <w:rPr>
      <w:sz w:val="26"/>
    </w:rPr>
  </w:style>
  <w:style w:type="paragraph" w:styleId="908">
    <w:name w:val="Footer"/>
    <w:basedOn w:val="711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909" w:customStyle="1">
    <w:name w:val="Нижний колонтитул Знак"/>
    <w:basedOn w:val="721"/>
    <w:link w:val="908"/>
    <w:uiPriority w:val="99"/>
  </w:style>
  <w:style w:type="character" w:styleId="910">
    <w:name w:val="page number"/>
    <w:basedOn w:val="721"/>
  </w:style>
  <w:style w:type="paragraph" w:styleId="911">
    <w:name w:val="Header"/>
    <w:basedOn w:val="711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 w:customStyle="1">
    <w:name w:val="Верхний колонтитул Знак"/>
    <w:link w:val="911"/>
    <w:uiPriority w:val="99"/>
  </w:style>
  <w:style w:type="paragraph" w:styleId="913">
    <w:name w:val="Balloon Text"/>
    <w:basedOn w:val="711"/>
    <w:link w:val="914"/>
    <w:rPr>
      <w:rFonts w:ascii="Segoe UI" w:hAnsi="Segoe UI"/>
      <w:sz w:val="18"/>
      <w:szCs w:val="18"/>
    </w:rPr>
  </w:style>
  <w:style w:type="character" w:styleId="914" w:customStyle="1">
    <w:name w:val="Текст выноски Знак"/>
    <w:link w:val="913"/>
    <w:rPr>
      <w:rFonts w:ascii="Segoe UI" w:hAnsi="Segoe UI" w:cs="Segoe UI"/>
      <w:sz w:val="18"/>
      <w:szCs w:val="18"/>
    </w:rPr>
  </w:style>
  <w:style w:type="paragraph" w:styleId="915" w:customStyle="1">
    <w:name w:val="Форма"/>
    <w:rPr>
      <w:sz w:val="28"/>
      <w:szCs w:val="28"/>
    </w:rPr>
  </w:style>
  <w:style w:type="paragraph" w:styleId="916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17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18">
    <w:name w:val="Hyperlink"/>
    <w:uiPriority w:val="99"/>
    <w:unhideWhenUsed/>
    <w:rPr>
      <w:color w:val="0000ff"/>
      <w:u w:val="single"/>
    </w:rPr>
  </w:style>
  <w:style w:type="table" w:styleId="919">
    <w:name w:val="Table Grid"/>
    <w:basedOn w:val="72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0">
    <w:name w:val="Normal (Web)"/>
    <w:basedOn w:val="71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21">
    <w:name w:val="HTML Preformatted"/>
    <w:basedOn w:val="711"/>
    <w:link w:val="92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22" w:customStyle="1">
    <w:name w:val="Стандартный HTML Знак"/>
    <w:basedOn w:val="721"/>
    <w:link w:val="921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D0497-DEF0-4009-BC5A-F3355DD7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16</cp:revision>
  <dcterms:created xsi:type="dcterms:W3CDTF">2024-12-11T05:04:00Z</dcterms:created>
  <dcterms:modified xsi:type="dcterms:W3CDTF">2024-12-25T12:53:26Z</dcterms:modified>
</cp:coreProperties>
</file>