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71" w:rsidRDefault="00887958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21471" w:rsidRDefault="00887958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1637"/>
                                    <wp:effectExtent l="0" t="0" r="0" b="0"/>
                                    <wp:docPr id="3" name="_x0000_i103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5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16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21471" w:rsidRDefault="00887958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21471" w:rsidRDefault="0088795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21471" w:rsidRDefault="0082147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821471" w:rsidRDefault="00821471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21471" w:rsidRDefault="0082147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821471" w:rsidRDefault="00821471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21471" w:rsidRDefault="0082147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821471" w:rsidRDefault="00821471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9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1637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1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29pt;mso-wrap-distance-left:0.00pt;mso-wrap-distance-top:0.00pt;mso-wrap-distance-right:0.00pt;mso-wrap-distance-bottom:0.00pt;" stroked="f">
                                  <v:path textboxrect="0,0,0,0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9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p w:rsidR="00821471" w:rsidRDefault="00821471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821471" w:rsidRDefault="00821471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821471" w:rsidRDefault="00821471">
      <w:pPr>
        <w:jc w:val="both"/>
        <w:rPr>
          <w:sz w:val="28"/>
          <w:szCs w:val="28"/>
          <w:lang w:val="en-US"/>
        </w:rPr>
      </w:pPr>
    </w:p>
    <w:p w:rsidR="00821471" w:rsidRDefault="00821471">
      <w:pPr>
        <w:jc w:val="both"/>
        <w:rPr>
          <w:sz w:val="28"/>
          <w:szCs w:val="28"/>
        </w:rPr>
      </w:pPr>
    </w:p>
    <w:p w:rsidR="00821471" w:rsidRDefault="00821471">
      <w:pPr>
        <w:spacing w:line="240" w:lineRule="exact"/>
        <w:jc w:val="both"/>
        <w:rPr>
          <w:sz w:val="28"/>
          <w:szCs w:val="28"/>
        </w:rPr>
      </w:pPr>
    </w:p>
    <w:p w:rsidR="00821471" w:rsidRDefault="00821471">
      <w:pPr>
        <w:jc w:val="both"/>
        <w:rPr>
          <w:sz w:val="28"/>
          <w:szCs w:val="28"/>
        </w:rPr>
      </w:pPr>
    </w:p>
    <w:p w:rsidR="00821471" w:rsidRDefault="001566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14.01.2025                         </w:t>
      </w:r>
      <w:bookmarkStart w:id="0" w:name="_GoBack"/>
      <w:bookmarkEnd w:id="0"/>
      <w:r>
        <w:rPr>
          <w:sz w:val="28"/>
          <w:szCs w:val="28"/>
        </w:rPr>
        <w:t>№13</w:t>
      </w:r>
    </w:p>
    <w:p w:rsidR="00821471" w:rsidRDefault="00821471">
      <w:pPr>
        <w:jc w:val="both"/>
        <w:rPr>
          <w:sz w:val="28"/>
          <w:szCs w:val="28"/>
        </w:rPr>
      </w:pPr>
    </w:p>
    <w:p w:rsidR="00821471" w:rsidRDefault="00887958">
      <w:pPr>
        <w:pStyle w:val="aff1"/>
        <w:spacing w:line="240" w:lineRule="exact"/>
        <w:rPr>
          <w:b/>
        </w:rPr>
      </w:pPr>
      <w:r>
        <w:rPr>
          <w:b/>
        </w:rPr>
        <w:t xml:space="preserve">О проведении </w:t>
      </w:r>
      <w:r>
        <w:rPr>
          <w:b/>
          <w:lang w:val="en-US"/>
        </w:rPr>
        <w:t>XXVII</w:t>
      </w:r>
      <w:r>
        <w:rPr>
          <w:b/>
        </w:rPr>
        <w:t xml:space="preserve"> городского </w:t>
      </w:r>
    </w:p>
    <w:p w:rsidR="00821471" w:rsidRDefault="00887958">
      <w:pPr>
        <w:pStyle w:val="aff1"/>
        <w:spacing w:line="240" w:lineRule="exact"/>
        <w:rPr>
          <w:b/>
        </w:rPr>
      </w:pPr>
      <w:r>
        <w:rPr>
          <w:b/>
        </w:rPr>
        <w:t xml:space="preserve">конкурса социально значимых </w:t>
      </w:r>
    </w:p>
    <w:p w:rsidR="00821471" w:rsidRDefault="00887958">
      <w:pPr>
        <w:pStyle w:val="aff1"/>
        <w:spacing w:line="240" w:lineRule="exact"/>
        <w:rPr>
          <w:b/>
        </w:rPr>
      </w:pPr>
      <w:r>
        <w:rPr>
          <w:b/>
        </w:rPr>
        <w:t>проектов «Город – это мы»</w:t>
      </w:r>
    </w:p>
    <w:p w:rsidR="00821471" w:rsidRDefault="00821471">
      <w:pPr>
        <w:jc w:val="both"/>
        <w:rPr>
          <w:sz w:val="28"/>
          <w:szCs w:val="28"/>
        </w:rPr>
      </w:pPr>
    </w:p>
    <w:p w:rsidR="00821471" w:rsidRDefault="00821471">
      <w:pPr>
        <w:jc w:val="both"/>
        <w:rPr>
          <w:sz w:val="28"/>
          <w:szCs w:val="28"/>
        </w:rPr>
      </w:pPr>
    </w:p>
    <w:p w:rsidR="00821471" w:rsidRDefault="00821471">
      <w:pPr>
        <w:pStyle w:val="ConsPlusNormal"/>
        <w:jc w:val="both"/>
      </w:pPr>
    </w:p>
    <w:p w:rsidR="00821471" w:rsidRDefault="008879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28 октября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2008 г. № 327 «Об установлении расходного обязательства по проведению ежегодного городского конкурса социально значимых проектов», </w:t>
      </w:r>
      <w:hyperlink r:id="rId17" w:tooltip="consultantplus://offline/ref=DBD0A5C4B49BA06B0665F860BBA4E9A3962BA40E597395B4F7FBE3088CD3E7EACE1E4BEFBC5B3A0A205C5AA38998F83749SFE3H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города Перми от 16 декабря 2008 г. № 1214 «Об утверждении Порядка</w:t>
      </w:r>
      <w:r>
        <w:rPr>
          <w:sz w:val="28"/>
          <w:szCs w:val="28"/>
        </w:rPr>
        <w:t xml:space="preserve"> предоставления грантов в форме субсидий за счет средств бюджета города Перми на финансовое обеспечение затрат, связанных с реализацией социально значимых проектов победителями ежегодного городского конкурса социально значимых проектов», в целях привлечени</w:t>
      </w:r>
      <w:r>
        <w:rPr>
          <w:sz w:val="28"/>
          <w:szCs w:val="28"/>
        </w:rPr>
        <w:t xml:space="preserve">я некоммерческих организаций к решению социальных проблем, развития творческой и гражданской активности населения города Перми </w:t>
      </w:r>
    </w:p>
    <w:p w:rsidR="00821471" w:rsidRDefault="0088795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821471" w:rsidRDefault="008879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в 2025 году XXVII городской конкурс социально значимых проектов «Город – эт</w:t>
      </w:r>
      <w:r>
        <w:rPr>
          <w:sz w:val="28"/>
          <w:szCs w:val="28"/>
        </w:rPr>
        <w:t>о мы» (далее – Конкурс).</w:t>
      </w:r>
    </w:p>
    <w:p w:rsidR="00821471" w:rsidRDefault="008879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Создать конкурсную комиссию по проведению XXVII городского конкурса социально значимых проектов «Город – это мы».</w:t>
      </w:r>
    </w:p>
    <w:p w:rsidR="00821471" w:rsidRDefault="008879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прилагаемые:</w:t>
      </w:r>
    </w:p>
    <w:p w:rsidR="00821471" w:rsidRDefault="008879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номинации XXVII городского конкурса социально значимых проектов «Город – это мы», в</w:t>
      </w:r>
      <w:r>
        <w:rPr>
          <w:sz w:val="28"/>
          <w:szCs w:val="28"/>
        </w:rPr>
        <w:t xml:space="preserve"> том числе приоритетную номинацию «Никто не забыт, ничто не забыто»;</w:t>
      </w:r>
    </w:p>
    <w:p w:rsidR="00821471" w:rsidRDefault="008879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состав конкурсной комиссии по проведению XXVII городского конкурса социально значимых проектов «Город – это мы».</w:t>
      </w:r>
    </w:p>
    <w:p w:rsidR="00821471" w:rsidRDefault="008879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вопросам общественного самоуправления и межнациональ</w:t>
      </w:r>
      <w:r>
        <w:rPr>
          <w:sz w:val="28"/>
          <w:szCs w:val="28"/>
        </w:rPr>
        <w:t>ным отношениям администрации города Перми:</w:t>
      </w:r>
    </w:p>
    <w:p w:rsidR="00821471" w:rsidRDefault="008879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организацию и проведение Конкурса;</w:t>
      </w:r>
    </w:p>
    <w:p w:rsidR="00821471" w:rsidRDefault="008879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организовать работу конкурсной комиссии по проведению XXVII городского конкурса социально значимых проектов «Город – это мы»;</w:t>
      </w:r>
    </w:p>
    <w:p w:rsidR="00821471" w:rsidRDefault="008879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обеспечить размещение инфо</w:t>
      </w:r>
      <w:r>
        <w:rPr>
          <w:sz w:val="28"/>
          <w:szCs w:val="28"/>
        </w:rPr>
        <w:t>рмации о ходе Конкурса на официальном сайте муниципального образования город Пермь в информационно-телекоммуникационной сети Интернет: www.gorodperm.ru и на едином портале бюджетной системы Российской Федерации в информационно-телекоммуникационной сети Инт</w:t>
      </w:r>
      <w:r>
        <w:rPr>
          <w:sz w:val="28"/>
          <w:szCs w:val="28"/>
        </w:rPr>
        <w:t>ернет;</w:t>
      </w:r>
    </w:p>
    <w:p w:rsidR="00821471" w:rsidRDefault="008879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осуществлять финансирование проектов – победителей Конкурса в соответствии с действующим законодательством в пределах средств бюджета города Перми, предусмотренных на данные цели.</w:t>
      </w:r>
    </w:p>
    <w:p w:rsidR="00821471" w:rsidRDefault="008879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подписания.</w:t>
      </w:r>
    </w:p>
    <w:p w:rsidR="00821471" w:rsidRDefault="008879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21471" w:rsidRDefault="008879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Информац</w:t>
      </w:r>
      <w:r>
        <w:rPr>
          <w:sz w:val="28"/>
          <w:szCs w:val="28"/>
        </w:rPr>
        <w:t xml:space="preserve">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www.gorodperm.ru». </w:t>
      </w:r>
    </w:p>
    <w:p w:rsidR="00821471" w:rsidRDefault="008879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постановления </w:t>
      </w:r>
      <w:r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</w:t>
      </w:r>
      <w:proofErr w:type="spellStart"/>
      <w:r>
        <w:rPr>
          <w:sz w:val="28"/>
          <w:szCs w:val="28"/>
        </w:rPr>
        <w:t>Трошкова</w:t>
      </w:r>
      <w:proofErr w:type="spellEnd"/>
      <w:r>
        <w:rPr>
          <w:sz w:val="28"/>
          <w:szCs w:val="28"/>
        </w:rPr>
        <w:t xml:space="preserve"> С.В.</w:t>
      </w:r>
    </w:p>
    <w:p w:rsidR="00821471" w:rsidRDefault="00821471">
      <w:pPr>
        <w:spacing w:line="240" w:lineRule="exact"/>
        <w:jc w:val="both"/>
        <w:rPr>
          <w:sz w:val="28"/>
          <w:szCs w:val="28"/>
        </w:rPr>
      </w:pPr>
    </w:p>
    <w:p w:rsidR="00821471" w:rsidRDefault="00821471">
      <w:pPr>
        <w:pStyle w:val="ConsPlusNormal"/>
        <w:jc w:val="both"/>
      </w:pPr>
    </w:p>
    <w:p w:rsidR="00821471" w:rsidRDefault="00821471">
      <w:pPr>
        <w:tabs>
          <w:tab w:val="left" w:pos="8080"/>
        </w:tabs>
        <w:jc w:val="both"/>
        <w:rPr>
          <w:sz w:val="28"/>
          <w:szCs w:val="28"/>
        </w:rPr>
      </w:pPr>
    </w:p>
    <w:p w:rsidR="00821471" w:rsidRDefault="00887958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821471" w:rsidRDefault="00821471">
      <w:pPr>
        <w:pStyle w:val="ConsPlusNormal"/>
        <w:jc w:val="both"/>
      </w:pPr>
    </w:p>
    <w:p w:rsidR="00821471" w:rsidRDefault="00821471">
      <w:pPr>
        <w:pStyle w:val="ConsPlusNormal"/>
        <w:jc w:val="both"/>
      </w:pPr>
    </w:p>
    <w:p w:rsidR="00821471" w:rsidRDefault="00821471">
      <w:pPr>
        <w:pStyle w:val="ConsPlusNormal"/>
        <w:jc w:val="both"/>
      </w:pPr>
    </w:p>
    <w:p w:rsidR="00821471" w:rsidRDefault="00821471">
      <w:pPr>
        <w:pStyle w:val="ConsPlusNormal"/>
        <w:jc w:val="right"/>
        <w:sectPr w:rsidR="00821471">
          <w:headerReference w:type="default" r:id="rId18"/>
          <w:headerReference w:type="first" r:id="rId19"/>
          <w:footerReference w:type="first" r:id="rId2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821471" w:rsidRDefault="00887958">
      <w:pPr>
        <w:pStyle w:val="ConsPlusNormal"/>
        <w:tabs>
          <w:tab w:val="left" w:pos="11482"/>
        </w:tabs>
        <w:spacing w:line="240" w:lineRule="exact"/>
        <w:ind w:left="11624" w:right="111" w:hanging="1985"/>
        <w:jc w:val="both"/>
      </w:pPr>
      <w:r>
        <w:lastRenderedPageBreak/>
        <w:t>УТВЕРЖДЕНЫ</w:t>
      </w:r>
    </w:p>
    <w:p w:rsidR="00821471" w:rsidRDefault="00887958">
      <w:pPr>
        <w:pStyle w:val="ConsPlusNormal"/>
        <w:tabs>
          <w:tab w:val="left" w:pos="11482"/>
        </w:tabs>
        <w:spacing w:line="240" w:lineRule="exact"/>
        <w:ind w:left="11624" w:hanging="1985"/>
        <w:jc w:val="both"/>
      </w:pPr>
      <w:r>
        <w:t xml:space="preserve">постановлением администрации </w:t>
      </w:r>
    </w:p>
    <w:p w:rsidR="00821471" w:rsidRDefault="00887958">
      <w:pPr>
        <w:pStyle w:val="ConsPlusNormal"/>
        <w:tabs>
          <w:tab w:val="left" w:pos="11482"/>
        </w:tabs>
        <w:spacing w:line="240" w:lineRule="exact"/>
        <w:ind w:left="11624" w:hanging="1985"/>
        <w:jc w:val="both"/>
      </w:pPr>
      <w:r>
        <w:t xml:space="preserve">города Перми </w:t>
      </w:r>
    </w:p>
    <w:p w:rsidR="00821471" w:rsidRDefault="00887958">
      <w:pPr>
        <w:pStyle w:val="ConsPlusNormal"/>
        <w:tabs>
          <w:tab w:val="left" w:pos="11482"/>
        </w:tabs>
        <w:spacing w:line="240" w:lineRule="exact"/>
        <w:ind w:left="11624" w:hanging="1985"/>
        <w:jc w:val="both"/>
      </w:pPr>
      <w:r>
        <w:t xml:space="preserve">от </w:t>
      </w:r>
    </w:p>
    <w:p w:rsidR="00821471" w:rsidRDefault="00821471">
      <w:pPr>
        <w:pStyle w:val="ConsPlusNormal"/>
        <w:tabs>
          <w:tab w:val="left" w:pos="11482"/>
        </w:tabs>
        <w:spacing w:line="240" w:lineRule="exact"/>
        <w:ind w:left="11624" w:hanging="1985"/>
        <w:jc w:val="both"/>
      </w:pPr>
    </w:p>
    <w:p w:rsidR="00821471" w:rsidRDefault="00821471">
      <w:pPr>
        <w:pStyle w:val="ConsPlusNormal"/>
        <w:tabs>
          <w:tab w:val="left" w:pos="11482"/>
        </w:tabs>
        <w:spacing w:line="240" w:lineRule="exact"/>
        <w:ind w:left="11624" w:hanging="1985"/>
        <w:jc w:val="both"/>
      </w:pPr>
    </w:p>
    <w:p w:rsidR="00821471" w:rsidRDefault="00887958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НОМИНАЦИИ</w:t>
      </w:r>
    </w:p>
    <w:p w:rsidR="00821471" w:rsidRDefault="00887958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XXVII городского конкурса социально значимых проектов</w:t>
      </w:r>
    </w:p>
    <w:p w:rsidR="00821471" w:rsidRDefault="00887958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«Город – это мы», в том числе приоритетная номинация</w:t>
      </w:r>
    </w:p>
    <w:p w:rsidR="00821471" w:rsidRDefault="00887958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«Никто не забыт, ничто не забыто»</w:t>
      </w:r>
    </w:p>
    <w:p w:rsidR="00821471" w:rsidRDefault="00821471">
      <w:pPr>
        <w:spacing w:line="240" w:lineRule="exact"/>
        <w:jc w:val="center"/>
        <w:rPr>
          <w:sz w:val="28"/>
          <w:szCs w:val="28"/>
        </w:rPr>
      </w:pPr>
    </w:p>
    <w:tbl>
      <w:tblPr>
        <w:tblW w:w="1509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6945"/>
        <w:gridCol w:w="1984"/>
        <w:gridCol w:w="2483"/>
      </w:tblGrid>
      <w:tr w:rsidR="00821471">
        <w:tc>
          <w:tcPr>
            <w:tcW w:w="567" w:type="dxa"/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конкурса</w:t>
            </w:r>
          </w:p>
        </w:tc>
        <w:tc>
          <w:tcPr>
            <w:tcW w:w="6945" w:type="dxa"/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(цель, содержательные направления), перечень участников</w:t>
            </w:r>
          </w:p>
        </w:tc>
        <w:tc>
          <w:tcPr>
            <w:tcW w:w="1984" w:type="dxa"/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финансирования 1 проекта (тыс. руб.)</w:t>
            </w:r>
          </w:p>
        </w:tc>
        <w:tc>
          <w:tcPr>
            <w:tcW w:w="2483" w:type="dxa"/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реализации проекта</w:t>
            </w:r>
          </w:p>
        </w:tc>
      </w:tr>
    </w:tbl>
    <w:p w:rsidR="00821471" w:rsidRDefault="00821471">
      <w:pPr>
        <w:rPr>
          <w:sz w:val="2"/>
          <w:szCs w:val="2"/>
        </w:rPr>
      </w:pPr>
    </w:p>
    <w:tbl>
      <w:tblPr>
        <w:tblW w:w="1510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6945"/>
        <w:gridCol w:w="1984"/>
        <w:gridCol w:w="2493"/>
      </w:tblGrid>
      <w:tr w:rsidR="00821471">
        <w:trPr>
          <w:tblHeader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21471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Никто не забыт, ничто не забыто (приоритетная номинация)</w:t>
            </w: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Тематика: защита Родины – это почетный долг; патриотизм в действии: участие в социальной жизни; герои нашей страны; военная память и уроки истории.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формирование уважительного отношения к истори</w:t>
            </w:r>
            <w:r>
              <w:rPr>
                <w:sz w:val="24"/>
                <w:szCs w:val="24"/>
              </w:rPr>
              <w:t>ческому прошлому Родины, своего народа, его обычаям и традициям, формирование у молодежи гражданско-патриотических качеств личности, ответственности за судьбу Родины и своего народа.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Принимаются проекты, направленные на: 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увековечивание памяти павших в борьбе за независимость нашей Родины, проведение экскурсий, уроков мужества, встреч с ветеранами Великой Отечественной войны 1941-1945 годов, «Вахты Памяти» в День Победы; популяризацию почетного звания города Перми «Город тр</w:t>
            </w:r>
            <w:r>
              <w:rPr>
                <w:sz w:val="24"/>
                <w:szCs w:val="24"/>
              </w:rPr>
              <w:t>удовой доблести», проведение выставок, организация музейных экспозиций, проведение форумов, концертов, конференций, викторин, конкурсов, просмотров тематических видеофильмов, посвященных 80-летию Великой Победы; объединение усилий ветеранов, участников лок</w:t>
            </w:r>
            <w:r>
              <w:rPr>
                <w:sz w:val="24"/>
                <w:szCs w:val="24"/>
              </w:rPr>
              <w:t xml:space="preserve">альных боевых действий в военно-патриотическом воспитании молодежи, формирование у подрастающего поколения патриотического сознания, высокого чувства воинского и гражданского долга, готовности к военной службе, защите Отечества, осознания долга </w:t>
            </w:r>
            <w:r>
              <w:rPr>
                <w:sz w:val="24"/>
                <w:szCs w:val="24"/>
              </w:rPr>
              <w:lastRenderedPageBreak/>
              <w:t>перед Родин</w:t>
            </w:r>
            <w:r>
              <w:rPr>
                <w:sz w:val="24"/>
                <w:szCs w:val="24"/>
              </w:rPr>
              <w:t>ой, отстаивание ее чести и достоинства, свободы и независимости (защита Отечества). Оказание помощи людям, прибывшим с территорий Донбасса и Украины.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участников: некоммерческие организации, не являющиеся муниципальными бюджетными, автономными, каз</w:t>
            </w:r>
            <w:r>
              <w:rPr>
                <w:sz w:val="24"/>
                <w:szCs w:val="24"/>
              </w:rPr>
              <w:t>енными учреждениями, в том числе общественные объединения, территориальные общественные самоуправления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500,00</w:t>
            </w:r>
          </w:p>
        </w:tc>
        <w:tc>
          <w:tcPr>
            <w:tcW w:w="2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декабря 2025 г.</w:t>
            </w:r>
          </w:p>
        </w:tc>
      </w:tr>
      <w:tr w:rsidR="00821471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Мой проект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моему городу! </w:t>
            </w: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Тематика: семейные ценности и поддержка семьи; гражданское общество и самоорганизация; межнациональное согласие и толерантность; духовно-нравственное воспитание молодежи.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пропаганда семейных ценностей, развитие и укрепление институтов гражданского об</w:t>
            </w:r>
            <w:r>
              <w:rPr>
                <w:sz w:val="24"/>
                <w:szCs w:val="24"/>
              </w:rPr>
              <w:t>щества в городе Перми, укрепление межнационального согласия, развитие духовно-нравственного воспитания детей и молодежи, создание условий для самоорганизации общества и вовлечения граждан в местное самоуправление, развитие института общественного (гражданс</w:t>
            </w:r>
            <w:r>
              <w:rPr>
                <w:sz w:val="24"/>
                <w:szCs w:val="24"/>
              </w:rPr>
              <w:t>кого) контроля, вовлечение жителей в добровольческую (волонтерскую) деятельность.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Принимаются проекты, направленные на: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духовно-нравственных семейных традиций и ценностей, семейного воспитания; создание многоуровневого партнерства с национально-</w:t>
            </w:r>
            <w:r>
              <w:rPr>
                <w:sz w:val="24"/>
                <w:szCs w:val="24"/>
              </w:rPr>
              <w:t>культурными и иными общественными объединениями, реализацию социального служения, гармонизацию межнациональных отношений, укрепление межконфессионального согласия;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добровольческой (волонтерской) деятельности в городе Перми; создание и развитие раз</w:t>
            </w:r>
            <w:r>
              <w:rPr>
                <w:sz w:val="24"/>
                <w:szCs w:val="24"/>
              </w:rPr>
              <w:t>нообразных форм и моделей общественных организаций в некоммерческом секторе, развитие благотворительности и социального партнерства в решении задач городских сообществ, развитие успешных практик общественного (гражданского) контроля.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Участники: некоммерчес</w:t>
            </w:r>
            <w:r>
              <w:rPr>
                <w:sz w:val="24"/>
                <w:szCs w:val="24"/>
              </w:rPr>
              <w:t xml:space="preserve">кие организации, не являющиеся казенными учреждениями, в том числе общественные объединения, </w:t>
            </w:r>
            <w:r>
              <w:rPr>
                <w:sz w:val="24"/>
                <w:szCs w:val="24"/>
              </w:rPr>
              <w:lastRenderedPageBreak/>
              <w:t>территориальные общественные самоуправления, муниципальные бюджетные и автономные учреждения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400,00</w:t>
            </w:r>
          </w:p>
        </w:tc>
        <w:tc>
          <w:tcPr>
            <w:tcW w:w="2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декабря 2025 г.</w:t>
            </w:r>
          </w:p>
        </w:tc>
      </w:tr>
      <w:tr w:rsidR="00821471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ЭкоПермь</w:t>
            </w:r>
            <w:proofErr w:type="spellEnd"/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Тематика: зеленая трансфор</w:t>
            </w:r>
            <w:r>
              <w:rPr>
                <w:sz w:val="24"/>
                <w:szCs w:val="24"/>
              </w:rPr>
              <w:t xml:space="preserve">мация города; экологическое </w:t>
            </w:r>
            <w:proofErr w:type="spellStart"/>
            <w:r>
              <w:rPr>
                <w:sz w:val="24"/>
                <w:szCs w:val="24"/>
              </w:rPr>
              <w:t>волонтерство</w:t>
            </w:r>
            <w:proofErr w:type="spellEnd"/>
            <w:r>
              <w:rPr>
                <w:sz w:val="24"/>
                <w:szCs w:val="24"/>
              </w:rPr>
              <w:t>; экологическая безопасность и устойчивое развитие.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proofErr w:type="spellStart"/>
            <w:r>
              <w:rPr>
                <w:sz w:val="24"/>
                <w:szCs w:val="24"/>
              </w:rPr>
              <w:t>экологизация</w:t>
            </w:r>
            <w:proofErr w:type="spellEnd"/>
            <w:r>
              <w:rPr>
                <w:sz w:val="24"/>
                <w:szCs w:val="24"/>
              </w:rPr>
              <w:t xml:space="preserve"> городской среды и городского сообщества.</w:t>
            </w:r>
          </w:p>
          <w:p w:rsidR="00821471" w:rsidRDefault="00887958">
            <w:r>
              <w:rPr>
                <w:sz w:val="24"/>
                <w:szCs w:val="24"/>
              </w:rPr>
              <w:t xml:space="preserve">Принимаются проекты, направленные на: 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организацию и проведение природоохранных мероприятий, на внедрение дискуссионных форм работы с жителями по вопросам улучшения природной среды города Перми, установления шефства над скверами, парками, долинами малых рек, городскими лесами и особо охраняемым</w:t>
            </w:r>
            <w:r>
              <w:rPr>
                <w:sz w:val="24"/>
                <w:szCs w:val="24"/>
              </w:rPr>
              <w:t>и природными территориями местного значения города Перми, сохранения зеленых насаждений города Перми, проведение эколого-просветительских мероприятий, а также проведение мероприятий по обращению с животными на территории города Перми.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Участники: некоммерче</w:t>
            </w:r>
            <w:r>
              <w:rPr>
                <w:sz w:val="24"/>
                <w:szCs w:val="24"/>
              </w:rPr>
              <w:t xml:space="preserve">ские организации, не являющиеся муниципальными бюджетными, автономными, казенными учреждениями, в том числе общественные объединения, территориальные общественные самоуправления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400,00</w:t>
            </w:r>
          </w:p>
        </w:tc>
        <w:tc>
          <w:tcPr>
            <w:tcW w:w="2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декабря 2025 г.</w:t>
            </w:r>
          </w:p>
        </w:tc>
      </w:tr>
      <w:tr w:rsidR="00821471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Пермь спортивная</w:t>
            </w: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Тематика: спорт для всех;</w:t>
            </w:r>
            <w:r>
              <w:rPr>
                <w:sz w:val="24"/>
                <w:szCs w:val="24"/>
              </w:rPr>
              <w:t xml:space="preserve"> культура физической активности среди жителей; спорт и здоровье на работе; спорт во дворе; просвещение о здоровом образе жизни и вреде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веществ.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повышение уровня физической культуры населения и формирование здорового образа жизни посредс</w:t>
            </w:r>
            <w:r>
              <w:rPr>
                <w:sz w:val="24"/>
                <w:szCs w:val="24"/>
              </w:rPr>
              <w:t>твом привлечения жителей города Перми к массовым занятиям спортом.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Принимаются проекты, направленные на: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организацию и проведение спортивных соревнований различного уровня по месту жительства, на дворовых спортивных площадках, популяризацию и развитие школ</w:t>
            </w:r>
            <w:r>
              <w:rPr>
                <w:sz w:val="24"/>
                <w:szCs w:val="24"/>
              </w:rPr>
              <w:t>ьного спорта, внедрение новых форм привлечения детей и подростков к занятию спортом, создание условий для самостоятельных занятий физи</w:t>
            </w:r>
            <w:r>
              <w:rPr>
                <w:sz w:val="24"/>
                <w:szCs w:val="24"/>
              </w:rPr>
              <w:lastRenderedPageBreak/>
              <w:t>ческой культурой и спортом по месту жительства, восстановление, организацию физкультурно-массовой работы с различными груп</w:t>
            </w:r>
            <w:r>
              <w:rPr>
                <w:sz w:val="24"/>
                <w:szCs w:val="24"/>
              </w:rPr>
              <w:t>пами жителей, создание условий для повышения качества жизни граждан старшего поколения города Перми, проведение бесплатных спортивных занятий для различных групп жителей;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профилактику наркомании и распространение среди молодежи знаний о вреде употребления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(наркотических) веществ, формирование идеологии долгожительства, продвижение позитивной антитабачной и антиалкогольной идеологии в молодежной среде, пропаганду здорового образа жизни среди жителей города Перми.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Участники: некоммерческие орган</w:t>
            </w:r>
            <w:r>
              <w:rPr>
                <w:sz w:val="24"/>
                <w:szCs w:val="24"/>
              </w:rPr>
              <w:t>изации, не являющиеся муниципальными бюджетными, автономными, казенными учреждениями, в том числе общественные объединения, территориальные общественные самоуправления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400,00</w:t>
            </w:r>
          </w:p>
        </w:tc>
        <w:tc>
          <w:tcPr>
            <w:tcW w:w="2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декабря 2025 г.</w:t>
            </w:r>
          </w:p>
        </w:tc>
      </w:tr>
      <w:tr w:rsidR="00821471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Пермь – территория культуры</w:t>
            </w: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Тематика: Пермь как город международного сотрудничества; культурное наследие Перми; городские сообщества и их культурные практики; творческая среда для жителей; новые формы культурных активностей.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развитие и сохранение культурных практик городских со</w:t>
            </w:r>
            <w:r>
              <w:rPr>
                <w:sz w:val="24"/>
                <w:szCs w:val="24"/>
              </w:rPr>
              <w:t>обществ, развитие культурного производства, среды для творчества горожан, создание новых форм досуга для жителей города Перми, способствующих развитию культурного уровня, стимулирующих участие в культурной жизни города Перми, повышение привлекательности го</w:t>
            </w:r>
            <w:r>
              <w:rPr>
                <w:sz w:val="24"/>
                <w:szCs w:val="24"/>
              </w:rPr>
              <w:t>рода Перми, развитие социальных процессов городского сообщества, сохранение и развитие культурных ценностей города, повышение интереса в городском сообществе к истории города Перми, создание и распространение информации, способствующей формированию благопр</w:t>
            </w:r>
            <w:r>
              <w:rPr>
                <w:sz w:val="24"/>
                <w:szCs w:val="24"/>
              </w:rPr>
              <w:t>иятного имиджа города Перми и его жителей.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Принимаются проекты, направленные на: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сохранение культурных практик, группового творчества, культуры самоорганизации;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внедрение инновационных технологий в культурные и социальные процессы городского соо</w:t>
            </w:r>
            <w:r>
              <w:rPr>
                <w:sz w:val="24"/>
                <w:szCs w:val="24"/>
              </w:rPr>
              <w:t>бщества;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положительного имиджа города Перми и его жителей, в том числе как центра международного сотрудничества, открытого для взаимодействия и обмена опытом работы с представителями других стран, организация и проведение международных обменны</w:t>
            </w:r>
            <w:r>
              <w:rPr>
                <w:sz w:val="24"/>
                <w:szCs w:val="24"/>
              </w:rPr>
              <w:t>х культурных и гуманитарных мероприятий в городе, России и за рубежом;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муралов</w:t>
            </w:r>
            <w:proofErr w:type="spellEnd"/>
            <w:r>
              <w:rPr>
                <w:sz w:val="24"/>
                <w:szCs w:val="24"/>
              </w:rPr>
              <w:t xml:space="preserve"> (вид монументальной живописи на стенах архитектурных сооружений) и организацию культурного досуга жителей путем активизации народного творчества, возрождение традиций м</w:t>
            </w:r>
            <w:r>
              <w:rPr>
                <w:sz w:val="24"/>
                <w:szCs w:val="24"/>
              </w:rPr>
              <w:t>ассовых гуляний, развитие клубов по интересам, проведение досуговых мероприятий, повышение эстетического уровня жителей города Перми, на распространение краеведческих знаний об истории города Перми, заслугах известных в стране и мире пермяков, развитие меж</w:t>
            </w:r>
            <w:r>
              <w:rPr>
                <w:sz w:val="24"/>
                <w:szCs w:val="24"/>
              </w:rPr>
              <w:t>дународных отношений, сохранение и популяризация памятников, развитие национальных культур.</w:t>
            </w:r>
          </w:p>
          <w:p w:rsidR="00821471" w:rsidRDefault="0088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Участники: некоммерческие организации, не являющиеся казенными учреждениями, в том числе общественные объединения, территориальные общественные самоуправления, муниципальные бюджетные и автономные учреждения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400,00</w:t>
            </w:r>
          </w:p>
        </w:tc>
        <w:tc>
          <w:tcPr>
            <w:tcW w:w="2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71" w:rsidRDefault="00887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декабря 2025 г.</w:t>
            </w:r>
          </w:p>
        </w:tc>
      </w:tr>
    </w:tbl>
    <w:p w:rsidR="00821471" w:rsidRDefault="00821471">
      <w:pPr>
        <w:jc w:val="both"/>
        <w:rPr>
          <w:sz w:val="28"/>
          <w:szCs w:val="28"/>
        </w:rPr>
      </w:pPr>
    </w:p>
    <w:p w:rsidR="00821471" w:rsidRDefault="00821471">
      <w:pPr>
        <w:jc w:val="both"/>
        <w:rPr>
          <w:sz w:val="28"/>
          <w:szCs w:val="28"/>
        </w:rPr>
      </w:pPr>
    </w:p>
    <w:p w:rsidR="00821471" w:rsidRDefault="00821471">
      <w:pPr>
        <w:jc w:val="both"/>
        <w:rPr>
          <w:sz w:val="28"/>
          <w:szCs w:val="28"/>
        </w:rPr>
      </w:pPr>
    </w:p>
    <w:p w:rsidR="00821471" w:rsidRDefault="00821471">
      <w:pPr>
        <w:jc w:val="both"/>
        <w:rPr>
          <w:sz w:val="28"/>
          <w:szCs w:val="28"/>
        </w:rPr>
      </w:pPr>
    </w:p>
    <w:p w:rsidR="00821471" w:rsidRDefault="00821471">
      <w:pPr>
        <w:jc w:val="both"/>
        <w:rPr>
          <w:sz w:val="28"/>
          <w:szCs w:val="28"/>
        </w:rPr>
        <w:sectPr w:rsidR="00821471">
          <w:headerReference w:type="even" r:id="rId21"/>
          <w:headerReference w:type="default" r:id="rId22"/>
          <w:footerReference w:type="default" r:id="rId23"/>
          <w:pgSz w:w="16838" w:h="11906" w:orient="landscape"/>
          <w:pgMar w:top="1134" w:right="567" w:bottom="1134" w:left="1417" w:header="363" w:footer="709" w:gutter="0"/>
          <w:pgNumType w:start="1"/>
          <w:cols w:space="708"/>
          <w:titlePg/>
          <w:docGrid w:linePitch="360"/>
        </w:sectPr>
      </w:pPr>
    </w:p>
    <w:p w:rsidR="00821471" w:rsidRDefault="00887958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21471" w:rsidRDefault="00887958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21471" w:rsidRDefault="00887958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821471" w:rsidRDefault="00887958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821471" w:rsidRDefault="00821471">
      <w:pPr>
        <w:spacing w:line="240" w:lineRule="exact"/>
        <w:ind w:left="5670"/>
        <w:rPr>
          <w:sz w:val="28"/>
          <w:szCs w:val="28"/>
        </w:rPr>
      </w:pPr>
    </w:p>
    <w:p w:rsidR="00821471" w:rsidRDefault="00821471">
      <w:pPr>
        <w:spacing w:line="240" w:lineRule="exact"/>
        <w:ind w:left="5670"/>
        <w:rPr>
          <w:sz w:val="28"/>
          <w:szCs w:val="28"/>
        </w:rPr>
      </w:pPr>
    </w:p>
    <w:p w:rsidR="00821471" w:rsidRDefault="0088795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821471" w:rsidRDefault="0088795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по проведению XXVII городского конкурса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>социально значимых проектов «Город – это мы»</w:t>
      </w:r>
    </w:p>
    <w:p w:rsidR="00821471" w:rsidRDefault="00821471">
      <w:pPr>
        <w:jc w:val="both"/>
        <w:rPr>
          <w:sz w:val="28"/>
          <w:szCs w:val="28"/>
        </w:rPr>
      </w:pPr>
    </w:p>
    <w:tbl>
      <w:tblPr>
        <w:tblW w:w="5071" w:type="pct"/>
        <w:tblLayout w:type="fixed"/>
        <w:tblLook w:val="04A0" w:firstRow="1" w:lastRow="0" w:firstColumn="1" w:lastColumn="0" w:noHBand="0" w:noVBand="1"/>
      </w:tblPr>
      <w:tblGrid>
        <w:gridCol w:w="3720"/>
        <w:gridCol w:w="6342"/>
      </w:tblGrid>
      <w:tr w:rsidR="00821471">
        <w:trPr>
          <w:cantSplit/>
        </w:trPr>
        <w:tc>
          <w:tcPr>
            <w:tcW w:w="1006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</w:tc>
      </w:tr>
      <w:tr w:rsidR="00821471">
        <w:trPr>
          <w:cantSplit/>
        </w:trPr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Трошков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6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 </w:t>
            </w:r>
            <w:r>
              <w:rPr>
                <w:sz w:val="28"/>
                <w:szCs w:val="28"/>
              </w:rPr>
              <w:br/>
              <w:t>Перми</w:t>
            </w:r>
          </w:p>
          <w:p w:rsidR="00821471" w:rsidRDefault="00821471">
            <w:pPr>
              <w:rPr>
                <w:sz w:val="28"/>
                <w:szCs w:val="28"/>
              </w:rPr>
            </w:pPr>
          </w:p>
        </w:tc>
      </w:tr>
      <w:tr w:rsidR="00821471">
        <w:trPr>
          <w:cantSplit/>
        </w:trPr>
        <w:tc>
          <w:tcPr>
            <w:tcW w:w="1006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председателя:</w:t>
            </w:r>
          </w:p>
        </w:tc>
      </w:tr>
      <w:tr w:rsidR="00821471">
        <w:trPr>
          <w:cantSplit/>
        </w:trPr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председателя Пермской </w:t>
            </w:r>
            <w:r>
              <w:rPr>
                <w:sz w:val="28"/>
                <w:szCs w:val="28"/>
              </w:rPr>
              <w:br/>
              <w:t>городской Думы (по согласованию)</w:t>
            </w:r>
          </w:p>
          <w:p w:rsidR="00821471" w:rsidRDefault="00821471">
            <w:pPr>
              <w:rPr>
                <w:sz w:val="28"/>
                <w:szCs w:val="28"/>
              </w:rPr>
            </w:pPr>
          </w:p>
        </w:tc>
      </w:tr>
      <w:tr w:rsidR="00821471">
        <w:trPr>
          <w:cantSplit/>
        </w:trPr>
        <w:tc>
          <w:tcPr>
            <w:tcW w:w="1006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Секретарь:</w:t>
            </w:r>
          </w:p>
        </w:tc>
      </w:tr>
      <w:tr w:rsidR="00821471">
        <w:trPr>
          <w:cantSplit/>
        </w:trPr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6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по работе с общественными </w:t>
            </w:r>
            <w:r>
              <w:rPr>
                <w:sz w:val="28"/>
                <w:szCs w:val="28"/>
              </w:rPr>
              <w:br/>
              <w:t xml:space="preserve">организациями управления по вопросам </w:t>
            </w:r>
            <w:r>
              <w:rPr>
                <w:sz w:val="28"/>
                <w:szCs w:val="28"/>
              </w:rPr>
              <w:br/>
              <w:t xml:space="preserve">общественного самоуправления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межнациональным отношениям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администрации города Перми</w:t>
            </w:r>
          </w:p>
          <w:p w:rsidR="00821471" w:rsidRDefault="00821471">
            <w:pPr>
              <w:rPr>
                <w:sz w:val="28"/>
                <w:szCs w:val="28"/>
              </w:rPr>
            </w:pPr>
          </w:p>
        </w:tc>
      </w:tr>
      <w:tr w:rsidR="00821471">
        <w:trPr>
          <w:cantSplit/>
        </w:trPr>
        <w:tc>
          <w:tcPr>
            <w:tcW w:w="1006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Члены:</w:t>
            </w:r>
          </w:p>
        </w:tc>
      </w:tr>
      <w:tr w:rsidR="00821471">
        <w:trPr>
          <w:cantSplit/>
        </w:trPr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Коробко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Павловна</w:t>
            </w:r>
          </w:p>
        </w:tc>
        <w:tc>
          <w:tcPr>
            <w:tcW w:w="6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департамента-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начальник отдела по культуре и дополнительному образованию департамента культуры 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молодежной политики администрации города Перми</w:t>
            </w:r>
          </w:p>
          <w:p w:rsidR="00821471" w:rsidRDefault="00821471">
            <w:pPr>
              <w:rPr>
                <w:sz w:val="28"/>
                <w:szCs w:val="28"/>
              </w:rPr>
            </w:pPr>
          </w:p>
        </w:tc>
      </w:tr>
      <w:tr w:rsidR="00821471">
        <w:trPr>
          <w:cantSplit/>
        </w:trPr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Королева 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Владиславовна</w:t>
            </w:r>
          </w:p>
        </w:tc>
        <w:tc>
          <w:tcPr>
            <w:tcW w:w="6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автономной некоммерческой </w:t>
            </w:r>
            <w:r>
              <w:rPr>
                <w:sz w:val="28"/>
                <w:szCs w:val="28"/>
              </w:rPr>
              <w:br/>
              <w:t xml:space="preserve">организации «Ресурсный центр некоммерческих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организаций Пермского края «Нужные люди»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821471" w:rsidRDefault="00821471">
            <w:pPr>
              <w:rPr>
                <w:sz w:val="28"/>
                <w:szCs w:val="28"/>
              </w:rPr>
            </w:pPr>
          </w:p>
        </w:tc>
      </w:tr>
      <w:tr w:rsidR="00821471">
        <w:trPr>
          <w:cantSplit/>
        </w:trPr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Владимирович</w:t>
            </w:r>
          </w:p>
        </w:tc>
        <w:tc>
          <w:tcPr>
            <w:tcW w:w="6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Пермской городской Думы 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821471" w:rsidRDefault="00821471">
            <w:pPr>
              <w:rPr>
                <w:sz w:val="28"/>
                <w:szCs w:val="28"/>
              </w:rPr>
            </w:pPr>
          </w:p>
        </w:tc>
      </w:tr>
      <w:tr w:rsidR="00821471">
        <w:trPr>
          <w:cantSplit/>
        </w:trPr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Лялина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Леонидовна</w:t>
            </w:r>
          </w:p>
        </w:tc>
        <w:tc>
          <w:tcPr>
            <w:tcW w:w="6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Пермской городской Думы 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821471" w:rsidRDefault="00821471">
            <w:pPr>
              <w:rPr>
                <w:sz w:val="28"/>
                <w:szCs w:val="28"/>
              </w:rPr>
            </w:pPr>
          </w:p>
        </w:tc>
      </w:tr>
      <w:tr w:rsidR="00821471">
        <w:trPr>
          <w:cantSplit/>
          <w:trHeight w:val="1010"/>
        </w:trPr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Даниил Александрови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6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Пермской городской Думы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(по согласованию)</w:t>
            </w:r>
          </w:p>
          <w:p w:rsidR="00821471" w:rsidRDefault="00821471">
            <w:pPr>
              <w:rPr>
                <w:sz w:val="28"/>
                <w:szCs w:val="28"/>
              </w:rPr>
            </w:pPr>
          </w:p>
          <w:p w:rsidR="00821471" w:rsidRDefault="00821471">
            <w:pPr>
              <w:rPr>
                <w:sz w:val="28"/>
                <w:szCs w:val="28"/>
              </w:rPr>
            </w:pPr>
          </w:p>
        </w:tc>
      </w:tr>
      <w:tr w:rsidR="00821471">
        <w:trPr>
          <w:cantSplit/>
        </w:trPr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Нечаев 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Геннадьевич</w:t>
            </w:r>
          </w:p>
        </w:tc>
        <w:tc>
          <w:tcPr>
            <w:tcW w:w="6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Пермского регионального </w:t>
            </w:r>
            <w:r>
              <w:rPr>
                <w:sz w:val="28"/>
                <w:szCs w:val="28"/>
              </w:rPr>
              <w:br/>
              <w:t xml:space="preserve">отделения общероссийской общественной </w:t>
            </w:r>
            <w:r>
              <w:rPr>
                <w:sz w:val="28"/>
                <w:szCs w:val="28"/>
              </w:rPr>
              <w:br/>
              <w:t xml:space="preserve">организации содействия повышению уровня 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качества исторического образования 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«Объединение преподавателей истории в вузах 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России», доцент кафедры государственного 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и истории (по согласованию)</w:t>
            </w:r>
          </w:p>
          <w:p w:rsidR="00821471" w:rsidRDefault="00821471">
            <w:pPr>
              <w:rPr>
                <w:sz w:val="28"/>
                <w:szCs w:val="28"/>
              </w:rPr>
            </w:pPr>
          </w:p>
        </w:tc>
      </w:tr>
      <w:tr w:rsidR="00821471">
        <w:trPr>
          <w:cantSplit/>
        </w:trPr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Пищальников</w:t>
            </w:r>
            <w:proofErr w:type="spellEnd"/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Сергеевич</w:t>
            </w:r>
          </w:p>
        </w:tc>
        <w:tc>
          <w:tcPr>
            <w:tcW w:w="6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координации, </w:t>
            </w:r>
            <w:r>
              <w:rPr>
                <w:sz w:val="28"/>
                <w:szCs w:val="28"/>
              </w:rPr>
              <w:br/>
              <w:t xml:space="preserve">планирования и развития отрасли департамента </w:t>
            </w:r>
            <w:r>
              <w:rPr>
                <w:sz w:val="28"/>
                <w:szCs w:val="28"/>
              </w:rPr>
              <w:br/>
              <w:t>образования админи</w:t>
            </w:r>
            <w:r>
              <w:rPr>
                <w:sz w:val="28"/>
                <w:szCs w:val="28"/>
              </w:rPr>
              <w:t>страции города Перми</w:t>
            </w:r>
          </w:p>
          <w:p w:rsidR="00821471" w:rsidRDefault="00821471">
            <w:pPr>
              <w:jc w:val="both"/>
              <w:rPr>
                <w:sz w:val="28"/>
                <w:szCs w:val="28"/>
              </w:rPr>
            </w:pPr>
          </w:p>
        </w:tc>
      </w:tr>
      <w:tr w:rsidR="00821471">
        <w:trPr>
          <w:cantSplit/>
        </w:trPr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Пунина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Александровна</w:t>
            </w:r>
          </w:p>
        </w:tc>
        <w:tc>
          <w:tcPr>
            <w:tcW w:w="6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директора Фонда целевого капитала Пермского </w:t>
            </w:r>
            <w:r>
              <w:rPr>
                <w:sz w:val="28"/>
                <w:szCs w:val="28"/>
              </w:rPr>
              <w:br/>
              <w:t>университета (по согласованию)</w:t>
            </w:r>
          </w:p>
          <w:p w:rsidR="00821471" w:rsidRDefault="00821471">
            <w:pPr>
              <w:rPr>
                <w:sz w:val="28"/>
                <w:szCs w:val="28"/>
              </w:rPr>
            </w:pPr>
          </w:p>
        </w:tc>
      </w:tr>
      <w:tr w:rsidR="00821471">
        <w:trPr>
          <w:cantSplit/>
        </w:trPr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Сабурова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Вадимовна</w:t>
            </w:r>
          </w:p>
        </w:tc>
        <w:tc>
          <w:tcPr>
            <w:tcW w:w="6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лесов и особо охраняемых </w:t>
            </w:r>
            <w:r>
              <w:rPr>
                <w:sz w:val="28"/>
                <w:szCs w:val="28"/>
              </w:rPr>
              <w:br/>
              <w:t xml:space="preserve">природных территорий управления по экологии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природопользованию администрации города 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</w:t>
            </w:r>
          </w:p>
          <w:p w:rsidR="00821471" w:rsidRDefault="00821471">
            <w:pPr>
              <w:rPr>
                <w:sz w:val="28"/>
                <w:szCs w:val="28"/>
              </w:rPr>
            </w:pPr>
          </w:p>
        </w:tc>
      </w:tr>
      <w:tr w:rsidR="00821471">
        <w:trPr>
          <w:cantSplit/>
        </w:trPr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Сапегин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6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физической культуре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спорту администрации города Перми</w:t>
            </w:r>
          </w:p>
          <w:p w:rsidR="00821471" w:rsidRDefault="00821471">
            <w:pPr>
              <w:rPr>
                <w:sz w:val="28"/>
                <w:szCs w:val="28"/>
              </w:rPr>
            </w:pPr>
          </w:p>
        </w:tc>
      </w:tr>
      <w:tr w:rsidR="00821471">
        <w:trPr>
          <w:cantSplit/>
        </w:trPr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Александрович</w:t>
            </w:r>
          </w:p>
        </w:tc>
        <w:tc>
          <w:tcPr>
            <w:tcW w:w="6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председателя Пермской городской </w:t>
            </w:r>
            <w:r>
              <w:rPr>
                <w:sz w:val="28"/>
                <w:szCs w:val="28"/>
              </w:rPr>
              <w:br/>
              <w:t>Думы (по согла</w:t>
            </w:r>
            <w:r>
              <w:rPr>
                <w:sz w:val="28"/>
                <w:szCs w:val="28"/>
              </w:rPr>
              <w:t>сованию)</w:t>
            </w:r>
          </w:p>
          <w:p w:rsidR="00821471" w:rsidRDefault="00821471">
            <w:pPr>
              <w:rPr>
                <w:sz w:val="28"/>
                <w:szCs w:val="28"/>
              </w:rPr>
            </w:pPr>
          </w:p>
        </w:tc>
      </w:tr>
      <w:tr w:rsidR="00821471">
        <w:trPr>
          <w:cantSplit/>
        </w:trPr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Тякина 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по вопросам </w:t>
            </w:r>
            <w:r>
              <w:rPr>
                <w:sz w:val="28"/>
                <w:szCs w:val="28"/>
              </w:rPr>
              <w:br/>
              <w:t xml:space="preserve">общественного самоуправления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межнациональным отношениям администрации </w:t>
            </w:r>
            <w:r>
              <w:rPr>
                <w:sz w:val="28"/>
                <w:szCs w:val="28"/>
              </w:rPr>
              <w:br/>
              <w:t>города Перми</w:t>
            </w:r>
          </w:p>
          <w:p w:rsidR="00821471" w:rsidRDefault="00821471">
            <w:pPr>
              <w:rPr>
                <w:sz w:val="28"/>
                <w:szCs w:val="28"/>
              </w:rPr>
            </w:pPr>
          </w:p>
        </w:tc>
      </w:tr>
      <w:tr w:rsidR="00821471">
        <w:trPr>
          <w:cantSplit/>
        </w:trPr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Хузин</w:t>
            </w:r>
            <w:proofErr w:type="spellEnd"/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</w:t>
            </w:r>
            <w:proofErr w:type="spellStart"/>
            <w:r>
              <w:rPr>
                <w:sz w:val="28"/>
                <w:szCs w:val="28"/>
              </w:rPr>
              <w:t>Ильдусович</w:t>
            </w:r>
            <w:proofErr w:type="spellEnd"/>
          </w:p>
        </w:tc>
        <w:tc>
          <w:tcPr>
            <w:tcW w:w="6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департамента общественных проектов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Администрации губернатора Пермского края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(по согласованию)</w:t>
            </w:r>
          </w:p>
          <w:p w:rsidR="00821471" w:rsidRDefault="00821471">
            <w:pPr>
              <w:rPr>
                <w:sz w:val="28"/>
                <w:szCs w:val="28"/>
              </w:rPr>
            </w:pPr>
          </w:p>
        </w:tc>
      </w:tr>
      <w:tr w:rsidR="00821471">
        <w:trPr>
          <w:cantSplit/>
        </w:trPr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</w:t>
            </w:r>
          </w:p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Виталия Александровна</w:t>
            </w:r>
          </w:p>
        </w:tc>
        <w:tc>
          <w:tcPr>
            <w:tcW w:w="6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21471" w:rsidRDefault="0088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представитель Фонда содействия развитию </w:t>
            </w:r>
            <w:r>
              <w:rPr>
                <w:sz w:val="28"/>
                <w:szCs w:val="28"/>
              </w:rPr>
              <w:br/>
              <w:t>города Перми «Пермь – 300» (по согласованию)</w:t>
            </w:r>
          </w:p>
        </w:tc>
      </w:tr>
    </w:tbl>
    <w:p w:rsidR="00821471" w:rsidRDefault="00821471"/>
    <w:sectPr w:rsidR="00821471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958" w:rsidRDefault="00887958">
      <w:r>
        <w:separator/>
      </w:r>
    </w:p>
  </w:endnote>
  <w:endnote w:type="continuationSeparator" w:id="0">
    <w:p w:rsidR="00887958" w:rsidRDefault="0088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471" w:rsidRDefault="0082147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471" w:rsidRDefault="00821471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958" w:rsidRDefault="00887958">
      <w:r>
        <w:separator/>
      </w:r>
    </w:p>
  </w:footnote>
  <w:footnote w:type="continuationSeparator" w:id="0">
    <w:p w:rsidR="00887958" w:rsidRDefault="00887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471" w:rsidRDefault="0088795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5660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821471" w:rsidRDefault="0082147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471" w:rsidRDefault="0082147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471" w:rsidRDefault="0088795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821471" w:rsidRDefault="00821471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471" w:rsidRDefault="0088795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5660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821471" w:rsidRDefault="0082147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71"/>
    <w:rsid w:val="00156607"/>
    <w:rsid w:val="00821471"/>
    <w:rsid w:val="0088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F96B5-8EA6-4FEF-825E-FE0A9B36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character" w:styleId="aff2">
    <w:name w:val="Emphasis"/>
    <w:uiPriority w:val="20"/>
    <w:qFormat/>
    <w:rPr>
      <w:i/>
      <w:iCs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17" Type="http://schemas.openxmlformats.org/officeDocument/2006/relationships/hyperlink" Target="consultantplus://offline/ref=DBD0A5C4B49BA06B0665F860BBA4E9A3962BA40E597395B4F7FBE3088CD3E7EACE1E4BEFBC5B3A0A205C5AA38998F83749SFE3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20.w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2.wmf"/><Relationship Id="rId23" Type="http://schemas.openxmlformats.org/officeDocument/2006/relationships/footer" Target="footer2.xm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14" Type="http://schemas.openxmlformats.org/officeDocument/2006/relationships/image" Target="media/image10.png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2089</Words>
  <Characters>11913</Characters>
  <Application>Microsoft Office Word</Application>
  <DocSecurity>0</DocSecurity>
  <Lines>99</Lines>
  <Paragraphs>27</Paragraphs>
  <ScaleCrop>false</ScaleCrop>
  <Company>Администрация г. Перми</Company>
  <LinksUpToDate>false</LinksUpToDate>
  <CharactersWithSpaces>13975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Краюшкина Ольга Павловна</cp:lastModifiedBy>
  <cp:revision>40</cp:revision>
  <dcterms:created xsi:type="dcterms:W3CDTF">2024-12-24T11:59:00Z</dcterms:created>
  <dcterms:modified xsi:type="dcterms:W3CDTF">2025-01-14T12:45:00Z</dcterms:modified>
  <cp:version>983040</cp:version>
</cp:coreProperties>
</file>