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750" cy="508000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750" cy="5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0pt;height:40.0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750" cy="508000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75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0pt;height:40.0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10857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2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2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4"/>
        <w:ind w:right="5387"/>
        <w:spacing w:line="240" w:lineRule="exact"/>
        <w:widowControl/>
        <w:rPr>
          <w:szCs w:val="28"/>
        </w:rPr>
      </w:pPr>
      <w:r>
        <w:rPr>
          <w:szCs w:val="28"/>
        </w:rPr>
        <w:t xml:space="preserve">О внесении изменений </w:t>
      </w:r>
      <w:r>
        <w:rPr>
          <w:szCs w:val="28"/>
        </w:rPr>
        <w:br w:type="textWrapping" w:clear="all"/>
      </w:r>
      <w:r>
        <w:rPr>
          <w:szCs w:val="28"/>
        </w:rPr>
        <w:t xml:space="preserve">в Положение</w:t>
      </w:r>
      <w:r>
        <w:rPr>
          <w:szCs w:val="28"/>
        </w:rPr>
        <w:br w:type="textWrapping" w:clear="all"/>
      </w:r>
      <w:r>
        <w:rPr>
          <w:szCs w:val="28"/>
        </w:rPr>
        <w:t xml:space="preserve">о системе оплаты труда работников муниципального учреждения в сфере благоустройства территории города Перми, утвержденное </w:t>
      </w:r>
      <w:r>
        <w:rPr>
          <w:szCs w:val="28"/>
        </w:rPr>
        <w:t xml:space="preserve">постановлением администрации города Перми от 30.01.2020 № 86</w:t>
      </w:r>
      <w:r>
        <w:rPr>
          <w:szCs w:val="28"/>
        </w:rPr>
      </w:r>
      <w:r>
        <w:rPr>
          <w:szCs w:val="28"/>
        </w:rPr>
      </w:r>
    </w:p>
    <w:p>
      <w:pPr>
        <w:ind w:right="5387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6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</w:t>
      </w:r>
      <w:r>
        <w:rPr>
          <w:bCs/>
          <w:sz w:val="28"/>
          <w:szCs w:val="28"/>
        </w:rPr>
        <w:t xml:space="preserve">ации, Федеральным </w:t>
      </w:r>
      <w:hyperlink r:id="rId17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</w:t>
      </w:r>
      <w:r>
        <w:rPr>
          <w:bCs/>
          <w:sz w:val="28"/>
          <w:szCs w:val="28"/>
        </w:rPr>
        <w:t xml:space="preserve">Российской Федерации», </w:t>
      </w:r>
      <w:hyperlink r:id="rId18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9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</w:t>
      </w:r>
      <w:r>
        <w:rPr>
          <w:bCs/>
          <w:sz w:val="28"/>
          <w:szCs w:val="28"/>
        </w:rPr>
        <w:t xml:space="preserve">ми», в целях актуализации правовых актов города Перми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о системе оплаты труда работников муниципального учреждения в сфере благоустройства территории города Перми, утве</w:t>
      </w:r>
      <w:r>
        <w:rPr>
          <w:sz w:val="28"/>
          <w:szCs w:val="28"/>
        </w:rPr>
        <w:t xml:space="preserve">ржденное постановлением администрации города Перми</w:t>
      </w:r>
      <w:r>
        <w:rPr>
          <w:sz w:val="28"/>
          <w:szCs w:val="28"/>
        </w:rPr>
        <w:t xml:space="preserve"> от 30 января 2020 г. № 86 (в ред. от 02.10.2020 № 921, от 24.03.2021 № 189, </w:t>
      </w:r>
      <w:r>
        <w:rPr>
          <w:sz w:val="28"/>
          <w:szCs w:val="28"/>
        </w:rPr>
        <w:t xml:space="preserve">от 12.10.2021 № 848, от 26.01.2022 № 40, от 23.06.2022 № 527, от 07.11.2022 </w:t>
      </w:r>
      <w:r>
        <w:rPr>
          <w:sz w:val="28"/>
          <w:szCs w:val="28"/>
        </w:rPr>
        <w:t xml:space="preserve">№ 1132, от 23.12.2022 № 1356, от 29.03.2023 № 246,</w:t>
      </w:r>
      <w:r>
        <w:rPr>
          <w:sz w:val="28"/>
          <w:szCs w:val="28"/>
        </w:rPr>
        <w:t xml:space="preserve"> 28.06.2023 № 542, </w:t>
      </w:r>
      <w:r>
        <w:rPr>
          <w:sz w:val="28"/>
          <w:szCs w:val="28"/>
        </w:rPr>
        <w:t xml:space="preserve">от 17.08.2023 № 721, 31.08.2023 № 776, от 24.10.2023 № 1170, от 17.10.2024 № </w:t>
      </w:r>
      <w:r>
        <w:rPr>
          <w:sz w:val="28"/>
          <w:szCs w:val="28"/>
          <w:highlight w:val="white"/>
        </w:rPr>
        <w:t xml:space="preserve">910),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8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раздел 2 дополнить пунктом 2.4.4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8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«2.4.4. стимулирующие выплаты по итогам работы за месяц, квартал, год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разовые премии за выполнение особо сложных и важных заданий работникам Учреждения осуществляется по согласованию с учредителем.».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1.2. приложение 1 изложить в редакции согласно приложению 1</w:t>
        <w:br/>
        <w:t xml:space="preserve">к настоящему постановлению.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4"/>
          <w:highlight w:val="white"/>
          <w:lang w:eastAsia="en-US"/>
        </w:rPr>
      </w:r>
      <w:r>
        <w:rPr>
          <w:rFonts w:eastAsia="Calibri"/>
          <w:sz w:val="28"/>
          <w:szCs w:val="24"/>
          <w:highlight w:val="white"/>
          <w:lang w:eastAsia="en-US"/>
        </w:rPr>
        <w:t xml:space="preserve">1.3. приложение 3 изложить в редакции согласно приложению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2</w:t>
        <w:br/>
        <w:t xml:space="preserve">к настоящему постановлению.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1.4. приложение 3 изложить в редакции согласно приложению 3</w:t>
        <w:br/>
        <w:t xml:space="preserve">к настоящему постановлению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.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  <w:lang w:eastAsia="en-US"/>
        </w:rPr>
      </w:r>
    </w:p>
    <w:p>
      <w:pPr>
        <w:ind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2. Настоящее постановление вступает в сил</w:t>
      </w:r>
      <w:r>
        <w:rPr>
          <w:sz w:val="28"/>
          <w:szCs w:val="28"/>
          <w:highlight w:val="white"/>
        </w:rPr>
        <w:t xml:space="preserve">у с 01 апреля 2025 г., но не ранее дня официального обнародования посредством</w:t>
      </w:r>
      <w:r>
        <w:rPr>
          <w:sz w:val="28"/>
          <w:szCs w:val="28"/>
          <w:highlight w:val="white"/>
        </w:rPr>
        <w:t xml:space="preserve"> официального </w:t>
      </w:r>
      <w:r>
        <w:rPr>
          <w:sz w:val="28"/>
          <w:szCs w:val="28"/>
          <w:highlight w:val="white"/>
        </w:rPr>
        <w:t xml:space="preserve">опубликования</w:t>
        <w:br/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  <w:highlight w:val="white"/>
        </w:rPr>
        <w:t xml:space="preserve">иципального образован</w:t>
      </w:r>
      <w:r>
        <w:rPr>
          <w:sz w:val="28"/>
          <w:szCs w:val="28"/>
          <w:highlight w:val="white"/>
        </w:rPr>
        <w:t xml:space="preserve">ия город Пермь»,</w:t>
        <w:br/>
        <w:t xml:space="preserve">за исключением </w:t>
      </w:r>
      <w:r>
        <w:rPr>
          <w:sz w:val="28"/>
          <w:szCs w:val="28"/>
          <w:highlight w:val="white"/>
        </w:rPr>
        <w:t xml:space="preserve">пунктов 1.2, 1.4 настоящего постановления, которые вступают</w:t>
        <w:br/>
        <w:t xml:space="preserve">в </w:t>
      </w:r>
      <w:r>
        <w:rPr>
          <w:b w:val="0"/>
          <w:bCs w:val="0"/>
          <w:sz w:val="28"/>
          <w:szCs w:val="28"/>
          <w:highlight w:val="white"/>
        </w:rPr>
        <w:t xml:space="preserve">силу с даты </w:t>
      </w:r>
      <w:r>
        <w:rPr>
          <w:b w:val="0"/>
          <w:bCs w:val="0"/>
          <w:sz w:val="28"/>
          <w:szCs w:val="28"/>
          <w:highlight w:val="none"/>
        </w:rPr>
        <w:t xml:space="preserve">внесения в Единый госудраственный реестр юридических лиц записи о прекращении деятельности муниципального казенного учреждения «Содержание объектов благоустройства».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</w:t>
      </w:r>
      <w:r>
        <w:rPr>
          <w:rFonts w:ascii="Times New Roman" w:hAnsi="Times New Roman"/>
          <w:sz w:val="28"/>
          <w:szCs w:val="28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20" w:tooltip="http://www.gorodperm.ru" w:history="1">
        <w:r>
          <w:rPr>
            <w:rStyle w:val="904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</w:t>
      </w:r>
      <w:r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/>
      <w:r>
        <w:t xml:space="preserve">Приложение 1</w:t>
      </w: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outlineLvl w:val="1"/>
      </w:pPr>
      <w:r>
        <w:t xml:space="preserve">к постановлению администрации</w:t>
      </w:r>
      <w:r/>
      <w:r/>
    </w:p>
    <w:p>
      <w:pPr>
        <w:pStyle w:val="947"/>
        <w:ind w:left="9921"/>
        <w:spacing w:line="240" w:lineRule="exact"/>
        <w:outlineLvl w:val="1"/>
      </w:pPr>
      <w:r>
        <w:t xml:space="preserve">города Перми</w:t>
      </w:r>
      <w:r/>
      <w:r/>
    </w:p>
    <w:p>
      <w:pPr>
        <w:pStyle w:val="947"/>
        <w:ind w:left="9921"/>
        <w:spacing w:line="240" w:lineRule="exact"/>
        <w:outlineLvl w:val="1"/>
      </w:pPr>
      <w:r>
        <w:t xml:space="preserve">от </w:t>
      </w:r>
      <w:r/>
      <w:r/>
    </w:p>
    <w:p>
      <w:pPr>
        <w:pStyle w:val="947"/>
        <w:ind w:left="9921"/>
        <w:spacing w:line="240" w:lineRule="exact"/>
        <w:outlineLvl w:val="1"/>
      </w:pPr>
      <w:r/>
      <w:r/>
      <w:r/>
    </w:p>
    <w:p>
      <w:pPr>
        <w:pStyle w:val="1007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07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Таблица 1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РАЗМЕРЫ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должностных окладов работников муниципального казенного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учреждения </w:t>
      </w: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«Пермблагоустройство»</w:t>
      </w:r>
      <w:r/>
      <w:r>
        <w:rPr>
          <w:sz w:val="28"/>
          <w:szCs w:val="28"/>
          <w:highlight w:val="white"/>
        </w:rPr>
      </w:r>
      <w:r/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территории города Перми, занимающих должности, включенные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 профессиональные квалификационные группы общеотраслевых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должностей руководителей, специалистов и служащих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6"/>
        <w:gridCol w:w="3848"/>
        <w:gridCol w:w="3543"/>
        <w:gridCol w:w="3543"/>
        <w:gridCol w:w="326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оклад, руб.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с 01.05.2025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оклад, руб.*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с 01.07.2025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Общеотраслевые должности служащих второго уровня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секретарь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13 800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14 518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Общеотраслевые должности служащих третьего уровня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документовед 1-й категории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14 485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15 238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инженер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категории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14 485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15 238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эксперт дорожного хозяйства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категории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14 485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15 238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ведущий инженер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15 180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15 969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ведущий инженер-сметчик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15 180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15 969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ведущий эксперт дорожного хозяйства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15 180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15 969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ведущий юрисконсульт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15 180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15 969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ведущий экономист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15 180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15 969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Общеотраслевые должности служащих четвертого уровня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17 122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18 012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100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&lt;*&gt; С учетом индексации должностных окладов 5,2% с 01 июля 2025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right"/>
        <w:spacing w:before="0" w:after="0" w:line="283" w:lineRule="exac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right"/>
        <w:spacing w:before="0" w:after="0" w:line="283" w:lineRule="exact"/>
        <w:rPr>
          <w:rFonts w:ascii="Times New Roman" w:hAnsi="Times New Roman" w:cs="Times New Roman"/>
          <w:b w:val="0"/>
          <w:i w:val="0"/>
          <w:strike w:val="0"/>
          <w:sz w:val="24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Таблица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both"/>
        <w:spacing w:before="0" w:after="0" w:line="283" w:lineRule="exac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both"/>
        <w:spacing w:before="0" w:after="0" w:line="283" w:lineRule="exac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83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РАЗМЕРЫ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83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должностных окладов работников муниципального казенного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83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учреждения </w:t>
      </w: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«Пермблагоустройство»</w:t>
      </w:r>
      <w:r/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83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территории города Перми, занимающих должности, не включенные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83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 профессиональные квалификационные группы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0"/>
        <w:gridCol w:w="7449"/>
        <w:gridCol w:w="3402"/>
        <w:gridCol w:w="326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оклад, руб.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оклад, руб. &lt;*&gt;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Заведующий кладбищем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15 180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15 969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15 194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15 984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начальника территориального подразделения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15 615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16 427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Руководитель проекта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19 207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20 206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Начальник территориального подразделения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19 207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20 206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руководителя службы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21 870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23 007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руководителя службы - начальник отдела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21 870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23 007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100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&lt;*&gt; С учетом индексации должностных окладов 5,2% с 01 июля 2025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Таблица 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РАЗМЕРЫ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должностных окладов директора, заместителя директора-руководителя службы,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муниципального казенного учреждения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</w:p>
    <w:p>
      <w:pPr>
        <w:pStyle w:val="1_10961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«Пермблагоустройство»</w:t>
      </w:r>
      <w:r/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0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0"/>
        <w:gridCol w:w="7449"/>
        <w:gridCol w:w="3402"/>
        <w:gridCol w:w="326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оклад, руб.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оклад, руб. &lt;*&gt;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27432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28858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9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директора- руководитель службы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22297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23456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100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07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&lt;*&gt; С учетом индексации должностных окладов 5,2% с 01 июля 2025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shd w:val="nil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br w:type="page" w:clear="all"/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100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/>
      <w:bookmarkStart w:id="0" w:name="undefined"/>
      <w:r/>
      <w:bookmarkEnd w:id="0"/>
      <w:r>
        <w:t xml:space="preserve">Приложение 2</w:t>
      </w: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outlineLvl w:val="1"/>
      </w:pPr>
      <w:r>
        <w:t xml:space="preserve">к постановлению администрации</w:t>
      </w:r>
      <w:r/>
      <w:r/>
    </w:p>
    <w:p>
      <w:pPr>
        <w:pStyle w:val="947"/>
        <w:ind w:left="9921"/>
        <w:spacing w:line="240" w:lineRule="exact"/>
        <w:outlineLvl w:val="1"/>
      </w:pPr>
      <w:r>
        <w:t xml:space="preserve">города Перми</w:t>
      </w:r>
      <w:r/>
      <w:r/>
    </w:p>
    <w:p>
      <w:pPr>
        <w:pStyle w:val="947"/>
        <w:ind w:left="9921"/>
        <w:spacing w:line="240" w:lineRule="exact"/>
        <w:outlineLvl w:val="1"/>
      </w:pPr>
      <w:r>
        <w:t xml:space="preserve">от </w:t>
      </w:r>
      <w:r/>
      <w:r/>
    </w:p>
    <w:p>
      <w:pPr>
        <w:pStyle w:val="947"/>
        <w:ind w:left="9921"/>
        <w:spacing w:line="240" w:lineRule="exact"/>
        <w:outlineLvl w:val="1"/>
      </w:pPr>
      <w:r/>
      <w:r/>
      <w:r/>
    </w:p>
    <w:p>
      <w:pPr>
        <w:pStyle w:val="947"/>
        <w:ind w:left="9921"/>
        <w:spacing w:line="240" w:lineRule="exac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252" w:right="0" w:firstLine="0"/>
        <w:jc w:val="both"/>
        <w:spacing w:before="0" w:after="0" w:line="288" w:lineRule="atLeast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казенного учреждения «Пермблагоустройство»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6"/>
        <w:gridCol w:w="3037"/>
        <w:gridCol w:w="1984"/>
        <w:gridCol w:w="1701"/>
        <w:gridCol w:w="1843"/>
        <w:gridCol w:w="1984"/>
        <w:gridCol w:w="1843"/>
        <w:gridCol w:w="170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N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Количество должностных окладов в 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Количество окладов по социальным выплатам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Всего окладов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vMerge w:val="continue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всего 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в том числе количество окладов премиальных выплат по итогам работы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Директор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54,99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46,59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69,99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Заместитель директора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54,99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46,59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69,99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Главный инженер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54,99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46,59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69,99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Документовед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Инженер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Инженер 2-й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Эксперт дорожного хозяйства 2-й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Инженер-сметчик 2-й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Документовед 2-й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Инженер 1-й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Инженер-лаборант 1-й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Эксперт дорожного хозяйства 1-й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Инженер-сметчик 1-й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Ведущий инженер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37,00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28,60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52,00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Ведущий эксперт дорожного хозяйства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37,00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28,60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52,00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Ведущий инженер-сметчик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37,00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28,60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52,00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Ведущий юрисконсульт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37,00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28,60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52,00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Начальник отдела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42,45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34,05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57,45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Заместитель начальника отдела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38,72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30,32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53,72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037" w:type="dxa"/>
            <w:textDirection w:val="lrTb"/>
            <w:noWrap w:val="false"/>
          </w:tcPr>
          <w:p>
            <w:pPr>
              <w:pStyle w:val="100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Заведующий кладбищем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37,00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28,60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0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</w:rPr>
              <w:t xml:space="preserve">52,00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Таблица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39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39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9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9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казенного учреждения «Содержание объектов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9" w:lineRule="exac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благоустройства»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9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3061"/>
        <w:gridCol w:w="1984"/>
        <w:gridCol w:w="1701"/>
        <w:gridCol w:w="1843"/>
        <w:gridCol w:w="1984"/>
        <w:gridCol w:w="1843"/>
        <w:gridCol w:w="1701"/>
      </w:tblGrid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N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Количество окладов в год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gridSpan w:val="2"/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Количество окладов по социальным выплатам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Всего окладов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всего 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 том числе количество окладов премиальных выплат по итогам работы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8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Директор, заместитель директора, главный инженер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54,99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46,59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69,99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Начальник территориального подразделения, начальник отдела, 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41,15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32,75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56,15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Начальник сектора в составе отдела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39,81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31,41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54,81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Заместитель начальника территориального подразделения, заместитель начальника отдела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36,92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28,52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51,92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Ведущий юрисконсульт, ведущий экономист, ведущий инженер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34,00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25,6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00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49,00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Документовед 1-й категории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33,00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24,6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48,00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</w:tr>
    </w:tbl>
    <w:p>
      <w:pPr>
        <w:pStyle w:val="947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sz w:val="24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4"/>
          <w:highlight w:val="white"/>
        </w:rPr>
      </w:r>
      <w:r>
        <w:rPr>
          <w:rFonts w:ascii="TimesNewRoman" w:hAnsi="TimesNewRoman" w:eastAsia="TimesNewRoman" w:cs="TimesNewRoman"/>
          <w:sz w:val="24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/>
      <w:r>
        <w:t xml:space="preserve">Приложение 3</w:t>
      </w: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outlineLvl w:val="1"/>
      </w:pPr>
      <w:r>
        <w:t xml:space="preserve">к постановлению администрации</w:t>
      </w:r>
      <w:r/>
      <w:r/>
    </w:p>
    <w:p>
      <w:pPr>
        <w:pStyle w:val="947"/>
        <w:ind w:left="9921"/>
        <w:spacing w:line="240" w:lineRule="exact"/>
        <w:outlineLvl w:val="1"/>
      </w:pPr>
      <w:r>
        <w:t xml:space="preserve">города Перми</w:t>
      </w:r>
      <w:r/>
      <w:r/>
    </w:p>
    <w:p>
      <w:pPr>
        <w:pStyle w:val="947"/>
        <w:ind w:left="9921"/>
        <w:spacing w:line="240" w:lineRule="exact"/>
        <w:outlineLvl w:val="1"/>
      </w:pPr>
      <w:r>
        <w:t xml:space="preserve">от </w:t>
      </w:r>
      <w:r/>
      <w:r/>
    </w:p>
    <w:p>
      <w:pPr>
        <w:pStyle w:val="947"/>
        <w:ind w:left="9921"/>
        <w:spacing w:line="240" w:lineRule="exact"/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</w:p>
    <w:p>
      <w:pPr>
        <w:pStyle w:val="947"/>
        <w:ind w:left="9921"/>
        <w:spacing w:line="240" w:lineRule="exact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8"/>
          <w:szCs w:val="28"/>
        </w:rPr>
        <w:t xml:space="preserve">КОЛИЧЕСТВО</w:t>
      </w:r>
      <w:r>
        <w:rPr>
          <w:rFonts w:ascii="Arial" w:hAnsi="Arial" w:eastAsia="Arial" w:cs="Arial"/>
          <w:b/>
          <w:sz w:val="28"/>
          <w:szCs w:val="28"/>
        </w:rPr>
      </w:r>
      <w:r>
        <w:rPr>
          <w:rFonts w:ascii="Arial" w:hAnsi="Arial" w:eastAsia="Arial" w:cs="Arial"/>
          <w:b/>
          <w:sz w:val="28"/>
          <w:szCs w:val="28"/>
        </w:rPr>
      </w:r>
    </w:p>
    <w:p>
      <w:pPr>
        <w:pStyle w:val="100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rFonts w:ascii="Arial" w:hAnsi="Arial" w:eastAsia="Arial" w:cs="Arial"/>
          <w:b/>
          <w:sz w:val="28"/>
          <w:szCs w:val="28"/>
        </w:rPr>
      </w:r>
      <w:r>
        <w:rPr>
          <w:rFonts w:ascii="Arial" w:hAnsi="Arial" w:eastAsia="Arial" w:cs="Arial"/>
          <w:b/>
          <w:sz w:val="28"/>
          <w:szCs w:val="28"/>
        </w:rPr>
      </w:r>
    </w:p>
    <w:p>
      <w:pPr>
        <w:pStyle w:val="100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8"/>
          <w:szCs w:val="28"/>
        </w:rPr>
        <w:t xml:space="preserve">муниципального казенного учреждения "Пермблагоустройство"</w:t>
      </w:r>
      <w:r>
        <w:rPr>
          <w:rFonts w:ascii="Arial" w:hAnsi="Arial" w:eastAsia="Arial" w:cs="Arial"/>
          <w:b/>
          <w:sz w:val="28"/>
          <w:szCs w:val="28"/>
        </w:rPr>
      </w:r>
      <w:r>
        <w:rPr>
          <w:rFonts w:ascii="Arial" w:hAnsi="Arial" w:eastAsia="Arial" w:cs="Arial"/>
          <w:b/>
          <w:sz w:val="28"/>
          <w:szCs w:val="28"/>
        </w:rPr>
      </w:r>
    </w:p>
    <w:p>
      <w:pPr>
        <w:pStyle w:val="94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1986"/>
        <w:gridCol w:w="1701"/>
        <w:gridCol w:w="1841"/>
        <w:gridCol w:w="1984"/>
        <w:gridCol w:w="1843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N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Количество должностных окладов в год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5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Количество окладов по социальным выплатам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Всего окладов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всего 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 том числе количество окладов премиальных выплат по итогам работы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8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ind w:left="0"/>
              <w:jc w:val="left"/>
              <w:spacing w:before="0" w:after="160" w:line="259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Директор, заместитель директора – руководитель службы, заместитель руководителя службы, заместитель руководителя службы – начальник отдела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54,99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46,59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69,99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Начальник отдела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42,45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34,05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57,45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Руководитель проекта, начальник территориального подразделения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41,15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32,75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56,15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Заместитель начальника отдела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38,72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30,32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53,72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Ведущий инженер, ведущий эксперт дорожного хозяйства, ведущий инженер-сметчик, ведущий юрисконсульт, ведущий экономист, заведующий кладбищем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37,00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28,60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52,00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Заместитель начальника территориального подразделения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36,92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28,52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51,92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Документовед 1-й категории, инженер 1-й категории, эксперт дорожного хозяйства 1-й категории, секретарь руководителя 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35,00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26,60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74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50,00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</w:tbl>
    <w:p>
      <w:pPr>
        <w:pStyle w:val="74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418" w:right="1134" w:bottom="567" w:left="1134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7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750"/>
    <w:link w:val="742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750"/>
    <w:link w:val="764"/>
    <w:uiPriority w:val="10"/>
    <w:rPr>
      <w:sz w:val="48"/>
      <w:szCs w:val="48"/>
    </w:rPr>
  </w:style>
  <w:style w:type="character" w:styleId="736">
    <w:name w:val="Subtitle Char"/>
    <w:basedOn w:val="750"/>
    <w:link w:val="766"/>
    <w:uiPriority w:val="11"/>
    <w:rPr>
      <w:sz w:val="24"/>
      <w:szCs w:val="24"/>
    </w:rPr>
  </w:style>
  <w:style w:type="character" w:styleId="737">
    <w:name w:val="Quote Char"/>
    <w:link w:val="768"/>
    <w:uiPriority w:val="29"/>
    <w:rPr>
      <w:i/>
    </w:rPr>
  </w:style>
  <w:style w:type="character" w:styleId="738">
    <w:name w:val="Intense Quote Char"/>
    <w:link w:val="770"/>
    <w:uiPriority w:val="30"/>
    <w:rPr>
      <w:i/>
    </w:rPr>
  </w:style>
  <w:style w:type="character" w:styleId="739">
    <w:name w:val="Endnote Text Char"/>
    <w:link w:val="908"/>
    <w:uiPriority w:val="99"/>
    <w:rPr>
      <w:sz w:val="20"/>
    </w:rPr>
  </w:style>
  <w:style w:type="paragraph" w:styleId="740" w:default="1">
    <w:name w:val="Normal"/>
    <w:qFormat/>
  </w:style>
  <w:style w:type="paragraph" w:styleId="741">
    <w:name w:val="Heading 1"/>
    <w:basedOn w:val="740"/>
    <w:next w:val="740"/>
    <w:link w:val="753"/>
    <w:qFormat/>
    <w:pPr>
      <w:ind w:right="-1" w:firstLine="709"/>
      <w:jc w:val="both"/>
      <w:keepNext/>
      <w:outlineLvl w:val="0"/>
    </w:pPr>
    <w:rPr>
      <w:sz w:val="24"/>
    </w:rPr>
  </w:style>
  <w:style w:type="paragraph" w:styleId="742">
    <w:name w:val="Heading 2"/>
    <w:basedOn w:val="740"/>
    <w:next w:val="740"/>
    <w:link w:val="754"/>
    <w:qFormat/>
    <w:pPr>
      <w:ind w:right="-1"/>
      <w:jc w:val="both"/>
      <w:keepNext/>
      <w:outlineLvl w:val="1"/>
    </w:pPr>
    <w:rPr>
      <w:sz w:val="24"/>
    </w:rPr>
  </w:style>
  <w:style w:type="paragraph" w:styleId="743">
    <w:name w:val="Heading 3"/>
    <w:basedOn w:val="740"/>
    <w:next w:val="740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4">
    <w:name w:val="Heading 4"/>
    <w:basedOn w:val="740"/>
    <w:next w:val="740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Заголовок 1 Знак"/>
    <w:link w:val="741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link w:val="742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link w:val="743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4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4">
    <w:name w:val="Title"/>
    <w:basedOn w:val="740"/>
    <w:next w:val="740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Название Знак"/>
    <w:link w:val="764"/>
    <w:uiPriority w:val="10"/>
    <w:rPr>
      <w:sz w:val="48"/>
      <w:szCs w:val="48"/>
    </w:rPr>
  </w:style>
  <w:style w:type="paragraph" w:styleId="766">
    <w:name w:val="Subtitle"/>
    <w:basedOn w:val="740"/>
    <w:next w:val="740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link w:val="766"/>
    <w:uiPriority w:val="11"/>
    <w:rPr>
      <w:sz w:val="24"/>
      <w:szCs w:val="24"/>
    </w:rPr>
  </w:style>
  <w:style w:type="paragraph" w:styleId="768">
    <w:name w:val="Quote"/>
    <w:basedOn w:val="740"/>
    <w:next w:val="740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40"/>
    <w:next w:val="740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paragraph" w:styleId="772">
    <w:name w:val="Header"/>
    <w:basedOn w:val="740"/>
    <w:link w:val="927"/>
    <w:uiPriority w:val="99"/>
    <w:pPr>
      <w:tabs>
        <w:tab w:val="center" w:pos="4153" w:leader="none"/>
        <w:tab w:val="right" w:pos="8306" w:leader="none"/>
      </w:tabs>
    </w:pPr>
  </w:style>
  <w:style w:type="character" w:styleId="773" w:customStyle="1">
    <w:name w:val="Header Char"/>
    <w:uiPriority w:val="99"/>
  </w:style>
  <w:style w:type="paragraph" w:styleId="774">
    <w:name w:val="Footer"/>
    <w:basedOn w:val="740"/>
    <w:link w:val="1003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Footer Char"/>
    <w:uiPriority w:val="99"/>
  </w:style>
  <w:style w:type="paragraph" w:styleId="776">
    <w:name w:val="Caption"/>
    <w:basedOn w:val="740"/>
    <w:next w:val="74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7" w:customStyle="1">
    <w:name w:val="Caption Char"/>
    <w:uiPriority w:val="99"/>
  </w:style>
  <w:style w:type="table" w:styleId="778">
    <w:name w:val="Table Grid"/>
    <w:basedOn w:val="75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4">
    <w:name w:val="Hyperlink"/>
    <w:uiPriority w:val="99"/>
    <w:unhideWhenUsed/>
    <w:rPr>
      <w:color w:val="0000ff"/>
      <w:u w:val="single"/>
    </w:rPr>
  </w:style>
  <w:style w:type="paragraph" w:styleId="905">
    <w:name w:val="footnote text"/>
    <w:basedOn w:val="740"/>
    <w:link w:val="1006"/>
    <w:uiPriority w:val="99"/>
    <w:unhideWhenUsed/>
    <w:rPr>
      <w:rFonts w:eastAsia="Calibri"/>
      <w:lang w:val="en-US" w:eastAsia="en-US"/>
    </w:rPr>
  </w:style>
  <w:style w:type="character" w:styleId="906" w:customStyle="1">
    <w:name w:val="Footnote Text Char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740"/>
    <w:link w:val="909"/>
    <w:uiPriority w:val="99"/>
    <w:semiHidden/>
    <w:unhideWhenUsed/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740"/>
    <w:next w:val="740"/>
    <w:uiPriority w:val="39"/>
    <w:unhideWhenUsed/>
    <w:pPr>
      <w:spacing w:after="57"/>
    </w:pPr>
  </w:style>
  <w:style w:type="paragraph" w:styleId="912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13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14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5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6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7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8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9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  <w:rPr>
      <w:lang w:eastAsia="zh-CN"/>
    </w:rPr>
  </w:style>
  <w:style w:type="paragraph" w:styleId="921">
    <w:name w:val="table of figures"/>
    <w:basedOn w:val="740"/>
    <w:next w:val="740"/>
    <w:uiPriority w:val="99"/>
    <w:unhideWhenUsed/>
  </w:style>
  <w:style w:type="paragraph" w:styleId="922">
    <w:name w:val="Body Text"/>
    <w:basedOn w:val="740"/>
    <w:link w:val="946"/>
    <w:pPr>
      <w:ind w:right="3117"/>
    </w:pPr>
    <w:rPr>
      <w:rFonts w:ascii="Courier New" w:hAnsi="Courier New"/>
      <w:sz w:val="26"/>
      <w:lang w:val="en-US" w:eastAsia="en-US"/>
    </w:rPr>
  </w:style>
  <w:style w:type="paragraph" w:styleId="923">
    <w:name w:val="Body Text Indent"/>
    <w:basedOn w:val="740"/>
    <w:pPr>
      <w:ind w:right="-1"/>
      <w:jc w:val="both"/>
    </w:pPr>
    <w:rPr>
      <w:sz w:val="26"/>
    </w:rPr>
  </w:style>
  <w:style w:type="character" w:styleId="924">
    <w:name w:val="page number"/>
    <w:basedOn w:val="750"/>
  </w:style>
  <w:style w:type="paragraph" w:styleId="925">
    <w:name w:val="Balloon Text"/>
    <w:basedOn w:val="740"/>
    <w:link w:val="926"/>
    <w:uiPriority w:val="99"/>
    <w:rPr>
      <w:rFonts w:ascii="Segoe UI" w:hAnsi="Segoe UI"/>
      <w:sz w:val="18"/>
      <w:szCs w:val="18"/>
      <w:lang w:val="en-US" w:eastAsia="en-US"/>
    </w:rPr>
  </w:style>
  <w:style w:type="character" w:styleId="926" w:customStyle="1">
    <w:name w:val="Текст выноски Знак"/>
    <w:link w:val="925"/>
    <w:uiPriority w:val="99"/>
    <w:rPr>
      <w:rFonts w:ascii="Segoe UI" w:hAnsi="Segoe UI" w:cs="Segoe UI"/>
      <w:sz w:val="18"/>
      <w:szCs w:val="18"/>
    </w:rPr>
  </w:style>
  <w:style w:type="character" w:styleId="927" w:customStyle="1">
    <w:name w:val="Верхний колонтитул Знак"/>
    <w:link w:val="772"/>
    <w:uiPriority w:val="99"/>
  </w:style>
  <w:style w:type="numbering" w:styleId="928" w:customStyle="1">
    <w:name w:val="Нет списка1"/>
    <w:next w:val="752"/>
    <w:uiPriority w:val="99"/>
    <w:semiHidden/>
    <w:unhideWhenUsed/>
  </w:style>
  <w:style w:type="character" w:styleId="929">
    <w:name w:val="FollowedHyperlink"/>
    <w:uiPriority w:val="99"/>
    <w:unhideWhenUsed/>
    <w:rPr>
      <w:color w:val="800080"/>
      <w:u w:val="single"/>
    </w:rPr>
  </w:style>
  <w:style w:type="paragraph" w:styleId="930" w:customStyle="1">
    <w:name w:val="xl65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6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7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68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 w:customStyle="1">
    <w:name w:val="xl69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0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 w:customStyle="1">
    <w:name w:val="xl71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2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3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4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5"/>
    <w:basedOn w:val="74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6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7"/>
    <w:basedOn w:val="74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8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9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Форма"/>
    <w:rPr>
      <w:sz w:val="28"/>
      <w:szCs w:val="28"/>
    </w:rPr>
  </w:style>
  <w:style w:type="character" w:styleId="946" w:customStyle="1">
    <w:name w:val="Основной текст Знак"/>
    <w:link w:val="922"/>
    <w:rPr>
      <w:rFonts w:ascii="Courier New" w:hAnsi="Courier New"/>
      <w:sz w:val="26"/>
    </w:rPr>
  </w:style>
  <w:style w:type="paragraph" w:styleId="947" w:customStyle="1">
    <w:name w:val="ConsPlusNormal"/>
    <w:rPr>
      <w:sz w:val="28"/>
      <w:szCs w:val="28"/>
    </w:rPr>
  </w:style>
  <w:style w:type="numbering" w:styleId="948" w:customStyle="1">
    <w:name w:val="Нет списка11"/>
    <w:next w:val="752"/>
    <w:uiPriority w:val="99"/>
    <w:semiHidden/>
    <w:unhideWhenUsed/>
  </w:style>
  <w:style w:type="numbering" w:styleId="949" w:customStyle="1">
    <w:name w:val="Нет списка111"/>
    <w:next w:val="752"/>
    <w:uiPriority w:val="99"/>
    <w:semiHidden/>
    <w:unhideWhenUsed/>
  </w:style>
  <w:style w:type="paragraph" w:styleId="950" w:customStyle="1">
    <w:name w:val="font5"/>
    <w:basedOn w:val="74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1" w:customStyle="1">
    <w:name w:val="xl80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1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2"/>
    <w:basedOn w:val="74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3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4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5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6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7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8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9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0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1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2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93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4"/>
    <w:basedOn w:val="74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5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6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7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8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0" w:customStyle="1">
    <w:name w:val="xl99"/>
    <w:basedOn w:val="74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100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1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2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3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4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5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6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7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8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9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0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1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2"/>
    <w:basedOn w:val="74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4" w:customStyle="1">
    <w:name w:val="xl113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4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5"/>
    <w:basedOn w:val="74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7" w:customStyle="1">
    <w:name w:val="xl116"/>
    <w:basedOn w:val="74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7"/>
    <w:basedOn w:val="74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8"/>
    <w:basedOn w:val="74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9"/>
    <w:basedOn w:val="74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0"/>
    <w:basedOn w:val="74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1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2"/>
    <w:basedOn w:val="74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3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4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5"/>
    <w:basedOn w:val="74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7" w:customStyle="1">
    <w:name w:val="Нет списка2"/>
    <w:next w:val="752"/>
    <w:uiPriority w:val="99"/>
    <w:semiHidden/>
    <w:unhideWhenUsed/>
  </w:style>
  <w:style w:type="numbering" w:styleId="998" w:customStyle="1">
    <w:name w:val="Нет списка3"/>
    <w:next w:val="752"/>
    <w:uiPriority w:val="99"/>
    <w:semiHidden/>
    <w:unhideWhenUsed/>
  </w:style>
  <w:style w:type="paragraph" w:styleId="999" w:customStyle="1">
    <w:name w:val="font6"/>
    <w:basedOn w:val="74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7"/>
    <w:basedOn w:val="74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8"/>
    <w:basedOn w:val="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2" w:customStyle="1">
    <w:name w:val="Нет списка4"/>
    <w:next w:val="752"/>
    <w:uiPriority w:val="99"/>
    <w:semiHidden/>
    <w:unhideWhenUsed/>
  </w:style>
  <w:style w:type="character" w:styleId="1003" w:customStyle="1">
    <w:name w:val="Нижний колонтитул Знак"/>
    <w:link w:val="774"/>
    <w:uiPriority w:val="99"/>
  </w:style>
  <w:style w:type="paragraph" w:styleId="1004" w:customStyle="1">
    <w:name w:val="ConsPlusTitle"/>
    <w:pPr>
      <w:widowControl w:val="off"/>
    </w:pPr>
    <w:rPr>
      <w:b/>
      <w:sz w:val="28"/>
    </w:rPr>
  </w:style>
  <w:style w:type="paragraph" w:styleId="1005" w:customStyle="1">
    <w:name w:val="ConsPlusTitlePage"/>
    <w:pPr>
      <w:widowControl w:val="off"/>
    </w:pPr>
    <w:rPr>
      <w:rFonts w:ascii="Tahoma" w:hAnsi="Tahoma" w:cs="Tahoma"/>
    </w:rPr>
  </w:style>
  <w:style w:type="character" w:styleId="1006" w:customStyle="1">
    <w:name w:val="Текст сноски Знак"/>
    <w:link w:val="905"/>
    <w:uiPriority w:val="99"/>
    <w:rPr>
      <w:rFonts w:eastAsia="Calibri"/>
      <w:lang w:eastAsia="en-US"/>
    </w:rPr>
  </w:style>
  <w:style w:type="paragraph" w:styleId="100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08" w:customStyle="1">
    <w:name w:val="Normal (Web)"/>
    <w:basedOn w:val="72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0961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Relationship Id="rId16" Type="http://schemas.openxmlformats.org/officeDocument/2006/relationships/hyperlink" Target="consultantplus://offline/ref=A9173D9ECA01DC0A2EA57993B10B3D65552C4CA13DBC4975720C8375A313BCBEAB02F852873134C5FF5C8A7821A6PFH" TargetMode="External"/><Relationship Id="rId17" Type="http://schemas.openxmlformats.org/officeDocument/2006/relationships/hyperlink" Target="consultantplus://offline/ref=A9173D9ECA01DC0A2EA57993B10B3D65552C4CA53CBC4975720C8375A313BCBEAB02F852873134C5FF5C8A7821A6PFH" TargetMode="External"/><Relationship Id="rId18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9" Type="http://schemas.openxmlformats.org/officeDocument/2006/relationships/hyperlink" Target="consultantplus://offline/ref=A9173D9ECA01DC0A2EA5679EA767606E5C2015AA3ABC4B272F53D828F41AB6E9FE4DF90EC36027C5F95C887A3D6CBFADA8PCH" TargetMode="External"/><Relationship Id="rId20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CBEB-7318-4BB2-8C4B-13E78BD3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22</cp:revision>
  <dcterms:created xsi:type="dcterms:W3CDTF">2023-08-22T11:53:00Z</dcterms:created>
  <dcterms:modified xsi:type="dcterms:W3CDTF">2025-01-22T09:30:50Z</dcterms:modified>
  <cp:version>917504</cp:version>
</cp:coreProperties>
</file>