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-579119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90pt;mso-position-horizontal:absolute;mso-position-vertical-relative:text;margin-top:-45.6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</w:t>
      </w:r>
      <w:r>
        <w:rPr>
          <w:b/>
          <w:bCs/>
          <w:sz w:val="28"/>
          <w:szCs w:val="28"/>
        </w:rPr>
        <w:t xml:space="preserve">ачении общественных обсуждений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рассмотрению проекта о внесении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</w:t>
      </w:r>
      <w:r>
        <w:rPr>
          <w:b/>
          <w:bCs/>
          <w:sz w:val="28"/>
          <w:szCs w:val="28"/>
        </w:rPr>
        <w:t xml:space="preserve">в статью 49 Правил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землепользования </w:t>
      </w:r>
      <w:r>
        <w:rPr>
          <w:b/>
          <w:bCs/>
          <w:sz w:val="28"/>
          <w:szCs w:val="28"/>
        </w:rPr>
        <w:t xml:space="preserve">и застройки города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Перми, утвержденных </w:t>
      </w:r>
      <w:r>
        <w:rPr>
          <w:b/>
          <w:bCs/>
          <w:sz w:val="28"/>
          <w:szCs w:val="28"/>
        </w:rPr>
        <w:t xml:space="preserve">решением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Пермской городской Думы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26.06.2007 № 143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</w:t>
      </w:r>
      <w:r>
        <w:rPr>
          <w:sz w:val="28"/>
          <w:szCs w:val="28"/>
        </w:rPr>
        <w:t xml:space="preserve"> кодекса Российской Федерации, Ф</w:t>
      </w:r>
      <w:r>
        <w:rPr>
          <w:sz w:val="28"/>
          <w:szCs w:val="28"/>
        </w:rPr>
        <w:t xml:space="preserve">едеральных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14 марта 2022 г. </w:t>
      </w:r>
      <w:bookmarkStart w:id="0" w:name="_GoBack"/>
      <w:r/>
      <w:bookmarkEnd w:id="0"/>
      <w:r>
        <w:rPr>
          <w:color w:val="000000"/>
          <w:sz w:val="28"/>
          <w:szCs w:val="28"/>
        </w:rPr>
        <w:br/>
        <w:t xml:space="preserve">№ 58-ФЗ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Регламе</w:t>
      </w:r>
      <w:r>
        <w:rPr>
          <w:sz w:val="28"/>
          <w:szCs w:val="28"/>
        </w:rPr>
        <w:t xml:space="preserve">нт</w:t>
      </w:r>
      <w:r>
        <w:rPr>
          <w:sz w:val="28"/>
          <w:szCs w:val="28"/>
        </w:rPr>
        <w:t xml:space="preserve">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и градостроительной деятельности Пермского края от 30 декабря 2020 г. 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от 26 июня 2007 г. № 143 «Об утверждении Правил з</w:t>
      </w:r>
      <w:r>
        <w:rPr>
          <w:sz w:val="28"/>
          <w:szCs w:val="28"/>
        </w:rPr>
        <w:t xml:space="preserve">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и застройки Пермского городского округа с рекомендациями </w:t>
      </w:r>
      <w:r>
        <w:rPr>
          <w:sz w:val="28"/>
          <w:szCs w:val="28"/>
        </w:rPr>
        <w:t xml:space="preserve">о готовности проекта</w:t>
      </w:r>
      <w:r>
        <w:rPr>
          <w:sz w:val="28"/>
          <w:szCs w:val="28"/>
        </w:rPr>
        <w:t xml:space="preserve"> о внесении</w:t>
      </w:r>
      <w:r>
        <w:rPr>
          <w:sz w:val="28"/>
          <w:szCs w:val="28"/>
        </w:rPr>
        <w:t xml:space="preserve"> изменения в статью 49 Правил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землепользования и застройки города Перми </w:t>
      </w:r>
      <w:r>
        <w:rPr>
          <w:sz w:val="28"/>
          <w:szCs w:val="28"/>
        </w:rPr>
        <w:t xml:space="preserve">для организации и проведения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 января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35-01-01-4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t xml:space="preserve">о внесении изменения </w:t>
      </w:r>
      <w:r>
        <w:rPr>
          <w:sz w:val="28"/>
          <w:szCs w:val="28"/>
        </w:rPr>
        <w:t xml:space="preserve">в статью 49 Правил</w:t>
      </w:r>
      <w:r>
        <w:rPr>
          <w:sz w:val="28"/>
          <w:szCs w:val="28"/>
        </w:rPr>
        <w:t xml:space="preserve"> землепользования и застройки города Перми, утвержденных решением Пермской городской Думы от 26 июня 2007 г. № 143, </w:t>
        <w:br/>
        <w:t xml:space="preserve">в части установления границ </w:t>
      </w:r>
      <w:r>
        <w:rPr>
          <w:sz w:val="28"/>
          <w:szCs w:val="28"/>
        </w:rPr>
        <w:t xml:space="preserve">территориальной зоны </w:t>
      </w:r>
      <w:r>
        <w:rPr>
          <w:sz w:val="28"/>
          <w:szCs w:val="28"/>
        </w:rPr>
        <w:t xml:space="preserve">центра обслуживания рекреационных территорий</w:t>
      </w:r>
      <w:r>
        <w:rPr>
          <w:sz w:val="28"/>
          <w:szCs w:val="28"/>
        </w:rPr>
        <w:t xml:space="preserve"> (Ц-4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отношении земельных участков с кадастровыми номерами 59:01:0000000:1</w:t>
      </w:r>
      <w:r>
        <w:rPr>
          <w:sz w:val="28"/>
          <w:szCs w:val="28"/>
        </w:rPr>
        <w:t xml:space="preserve">018</w:t>
      </w:r>
      <w:r>
        <w:rPr>
          <w:sz w:val="28"/>
          <w:szCs w:val="28"/>
        </w:rPr>
        <w:t xml:space="preserve">, 59:01:0000000:93997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расположенных по ул. Спортивной в Мото</w:t>
      </w:r>
      <w:r>
        <w:rPr>
          <w:sz w:val="28"/>
          <w:szCs w:val="28"/>
        </w:rPr>
        <w:t xml:space="preserve">вилихинском районе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не ранее чем через 7 дней, но не 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  <w:t xml:space="preserve">в территориальный организационный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Мотовилихинского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</w:t>
      </w:r>
      <w:r>
        <w:rPr>
          <w:sz w:val="28"/>
          <w:szCs w:val="28"/>
        </w:rPr>
        <w:t xml:space="preserve">уществить идентификацию участников общественных обсуждений при подготовке протокола общественных обсуждений по Проекту 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о результатах общественных обсуждений в комиссию по подготовке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br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31 января 2025 г.</w:t>
      </w:r>
      <w:r>
        <w:rPr>
          <w:sz w:val="28"/>
          <w:szCs w:val="28"/>
        </w:rPr>
        <w:t xml:space="preserve"> по 06 февраля </w:t>
        <w:br/>
        <w:t xml:space="preserve">2025 г.: понедельник-четверг: с 09.00 час. до 18.00 час., пятница: </w:t>
      </w:r>
      <w:r>
        <w:rPr>
          <w:sz w:val="28"/>
          <w:szCs w:val="28"/>
        </w:rPr>
        <w:t xml:space="preserve">с 09.00</w:t>
      </w:r>
      <w:r>
        <w:rPr>
          <w:sz w:val="28"/>
          <w:szCs w:val="28"/>
        </w:rPr>
        <w:t xml:space="preserve"> час. </w:t>
        <w:br/>
        <w:t xml:space="preserve">до 17.00 час. по адресу: </w:t>
      </w:r>
      <w:r>
        <w:rPr>
          <w:color w:val="000000"/>
          <w:sz w:val="28"/>
          <w:szCs w:val="28"/>
        </w:rPr>
        <w:t xml:space="preserve">614014, г. Пермь, ул. Уральская, 36, администрация Мотовилихинского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</w:t>
      </w:r>
      <w:r>
        <w:rPr>
          <w:sz w:val="28"/>
          <w:szCs w:val="28"/>
        </w:rPr>
        <w:br/>
        <w:t xml:space="preserve">06 февраля 2025 г. с 17.00 час. до 17.20 час. </w:t>
      </w:r>
      <w:r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z w:val="28"/>
        </w:rPr>
        <w:t xml:space="preserve">614014, г. Пермь, </w:t>
        <w:br/>
        <w:t xml:space="preserve">ул. Уральская, 36, </w:t>
      </w:r>
      <w:r>
        <w:rPr>
          <w:color w:val="000000"/>
          <w:sz w:val="28"/>
        </w:rPr>
        <w:t xml:space="preserve">каб</w:t>
      </w:r>
      <w:r>
        <w:rPr>
          <w:color w:val="000000"/>
          <w:sz w:val="28"/>
        </w:rPr>
        <w:t xml:space="preserve"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103, администрация Мотовилихинского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</w:t>
      </w:r>
      <w:r>
        <w:rPr>
          <w:sz w:val="28"/>
          <w:szCs w:val="28"/>
        </w:rPr>
        <w:t xml:space="preserve">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</w:t>
      </w:r>
      <w:r>
        <w:rPr>
          <w:sz w:val="28"/>
          <w:szCs w:val="28"/>
        </w:rPr>
        <w:t xml:space="preserve"> (при наличии),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</w:t>
      </w:r>
      <w:r>
        <w:rPr>
          <w:sz w:val="28"/>
          <w:szCs w:val="28"/>
        </w:rPr>
        <w:t xml:space="preserve">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 </w:t>
      </w:r>
      <w:r>
        <w:rPr>
          <w:sz w:val="28"/>
          <w:szCs w:val="28"/>
        </w:rPr>
        <w:t xml:space="preserve">по Проекту по форме 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 порядке организации и проведения общественных обсуждений по вопросам градостроительной деятельности,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  <w:t xml:space="preserve">в период проведения экспозиции с 31 января 2025 г. по 06 февраля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</w:t>
      </w:r>
      <w:r>
        <w:rPr>
          <w:sz w:val="28"/>
          <w:szCs w:val="28"/>
        </w:rPr>
        <w:t xml:space="preserve"> Официальном сайте по 06 февраля </w:t>
      </w:r>
      <w:r>
        <w:rPr>
          <w:sz w:val="28"/>
          <w:szCs w:val="28"/>
        </w:rPr>
        <w:t xml:space="preserve">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br/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  <w:highlight w:val="none"/>
        </w:rPr>
        <w:t xml:space="preserve">на исполняющего обязанности первого заместителя главы администрации города Перми Норову М.В.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basedOn w:val="698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698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</w:style>
  <w:style w:type="paragraph" w:styleId="727">
    <w:name w:val="Title"/>
    <w:basedOn w:val="688"/>
    <w:next w:val="688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698"/>
    <w:link w:val="727"/>
    <w:uiPriority w:val="10"/>
    <w:rPr>
      <w:sz w:val="48"/>
      <w:szCs w:val="48"/>
    </w:rPr>
  </w:style>
  <w:style w:type="paragraph" w:styleId="729">
    <w:name w:val="Subtitle"/>
    <w:basedOn w:val="688"/>
    <w:next w:val="688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698"/>
    <w:link w:val="729"/>
    <w:uiPriority w:val="11"/>
    <w:rPr>
      <w:sz w:val="24"/>
      <w:szCs w:val="24"/>
    </w:rPr>
  </w:style>
  <w:style w:type="paragraph" w:styleId="731">
    <w:name w:val="Quote"/>
    <w:basedOn w:val="688"/>
    <w:next w:val="688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88"/>
    <w:next w:val="688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698"/>
    <w:uiPriority w:val="99"/>
  </w:style>
  <w:style w:type="character" w:styleId="736" w:customStyle="1">
    <w:name w:val="Footer Char"/>
    <w:basedOn w:val="698"/>
    <w:uiPriority w:val="99"/>
  </w:style>
  <w:style w:type="character" w:styleId="737" w:customStyle="1">
    <w:name w:val="Нижний колонтитул Знак"/>
    <w:link w:val="884"/>
    <w:uiPriority w:val="99"/>
  </w:style>
  <w:style w:type="table" w:styleId="738">
    <w:name w:val="Table Grid"/>
    <w:basedOn w:val="69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Table Grid Light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69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6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6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6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69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69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69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69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69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69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69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69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69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69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69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69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69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69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69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69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69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69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69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69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69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69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69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69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69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69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>
    <w:name w:val="Grid Table 5 Dark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69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69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69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69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69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69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>
    <w:name w:val="Grid Table 7 Colorful"/>
    <w:basedOn w:val="69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69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69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69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69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69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69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69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69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69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69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69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69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69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69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69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69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69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69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69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69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69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69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69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69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69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69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69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69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69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69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69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69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69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69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69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69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69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69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69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69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69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69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69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69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69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>
    <w:name w:val="List Table 7 Colorful"/>
    <w:basedOn w:val="69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69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69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69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69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69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69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basedOn w:val="69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69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basedOn w:val="69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basedOn w:val="69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basedOn w:val="69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basedOn w:val="69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basedOn w:val="69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basedOn w:val="69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69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69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69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69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69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69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4">
    <w:name w:val="footnote text"/>
    <w:basedOn w:val="688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698"/>
    <w:uiPriority w:val="99"/>
    <w:unhideWhenUsed/>
    <w:rPr>
      <w:vertAlign w:val="superscript"/>
    </w:rPr>
  </w:style>
  <w:style w:type="paragraph" w:styleId="867">
    <w:name w:val="endnote text"/>
    <w:basedOn w:val="688"/>
    <w:link w:val="868"/>
    <w:uiPriority w:val="99"/>
    <w:semiHidden/>
    <w:unhideWhenUsed/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698"/>
    <w:uiPriority w:val="99"/>
    <w:semiHidden/>
    <w:unhideWhenUsed/>
    <w:rPr>
      <w:vertAlign w:val="superscript"/>
    </w:rPr>
  </w:style>
  <w:style w:type="paragraph" w:styleId="870">
    <w:name w:val="toc 1"/>
    <w:basedOn w:val="688"/>
    <w:next w:val="688"/>
    <w:uiPriority w:val="39"/>
    <w:unhideWhenUsed/>
    <w:pPr>
      <w:spacing w:after="57"/>
    </w:pPr>
  </w:style>
  <w:style w:type="paragraph" w:styleId="871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2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3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4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75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76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77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78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88"/>
    <w:next w:val="688"/>
    <w:uiPriority w:val="99"/>
    <w:unhideWhenUsed/>
  </w:style>
  <w:style w:type="paragraph" w:styleId="881">
    <w:name w:val="Caption"/>
    <w:basedOn w:val="688"/>
    <w:next w:val="68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688"/>
    <w:pPr>
      <w:ind w:right="-1"/>
      <w:jc w:val="both"/>
    </w:pPr>
    <w:rPr>
      <w:sz w:val="26"/>
    </w:rPr>
  </w:style>
  <w:style w:type="paragraph" w:styleId="884">
    <w:name w:val="Footer"/>
    <w:basedOn w:val="688"/>
    <w:link w:val="737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698"/>
  </w:style>
  <w:style w:type="paragraph" w:styleId="886">
    <w:name w:val="Header"/>
    <w:basedOn w:val="688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688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character" w:styleId="889" w:customStyle="1">
    <w:name w:val="Body text (4)_"/>
    <w:link w:val="890"/>
    <w:uiPriority w:val="99"/>
    <w:rPr>
      <w:sz w:val="23"/>
      <w:szCs w:val="23"/>
      <w:shd w:val="clear" w:color="auto" w:fill="ffffff"/>
    </w:rPr>
  </w:style>
  <w:style w:type="paragraph" w:styleId="890" w:customStyle="1">
    <w:name w:val="Body text (4)"/>
    <w:basedOn w:val="688"/>
    <w:link w:val="889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1">
    <w:name w:val="Hyperlink"/>
    <w:rPr>
      <w:color w:val="0000ff"/>
      <w:u w:val="single"/>
    </w:rPr>
  </w:style>
  <w:style w:type="character" w:styleId="892" w:customStyle="1">
    <w:name w:val="Верхний колонтитул Знак"/>
    <w:basedOn w:val="698"/>
    <w:link w:val="886"/>
    <w:uiPriority w:val="99"/>
  </w:style>
  <w:style w:type="character" w:styleId="893">
    <w:name w:val="Emphasis"/>
    <w:qFormat/>
    <w:rPr>
      <w:i/>
      <w:iCs/>
    </w:rPr>
  </w:style>
  <w:style w:type="paragraph" w:styleId="894">
    <w:name w:val="List Paragraph"/>
    <w:basedOn w:val="68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15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D632-2ED2-4068-BBD7-9FA44945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23</cp:revision>
  <dcterms:created xsi:type="dcterms:W3CDTF">2024-11-08T04:57:00Z</dcterms:created>
  <dcterms:modified xsi:type="dcterms:W3CDTF">2025-01-21T12:55:41Z</dcterms:modified>
</cp:coreProperties>
</file>