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81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е</w:t>
        <w:br/>
      </w:r>
      <w:r>
        <w:rPr>
          <w:b/>
          <w:sz w:val="28"/>
          <w:szCs w:val="28"/>
        </w:rPr>
        <w:t xml:space="preserve">о системе оплаты труда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муниципального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ритуальных услуг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13.09.2024 № 763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97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Положение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муниципального учреждения в сфере ритуальных услуг</w:t>
      </w:r>
      <w:r>
        <w:rPr>
          <w:rFonts w:ascii="Times New Roman" w:hAnsi="Times New Roman"/>
          <w:sz w:val="28"/>
          <w:szCs w:val="28"/>
        </w:rPr>
        <w:t xml:space="preserve">, утвержденно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от 13 сентября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763</w:t>
      </w:r>
      <w:r>
        <w:rPr>
          <w:rFonts w:ascii="Times New Roman" w:hAnsi="Times New Roman"/>
          <w:sz w:val="28"/>
          <w:szCs w:val="28"/>
        </w:rPr>
        <w:t xml:space="preserve"> (в ред. от 11.10.2024 № 879),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154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раздел 2 дополнить пунктом 2.4.4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_1543"/>
        <w:ind w:firstLine="720"/>
        <w:jc w:val="both"/>
        <w:spacing w:before="0" w:beforeAutospacing="0" w:after="0" w:afterAutospacing="0" w:line="288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«2.4.4. стимулирующие выплаты по итогам работы за квартал, год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разовые премии за выполнение особо сложных и важных заданий работникам Учреждения осуществляется по согласованию с учредителем.».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9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вступает в силу с 01 апреля 2025 г., но не ранее дня официального обнародования посредством официального опубликованияв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город Пермь»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gorodperm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 w:cs="Segoe UI"/>
      <w:sz w:val="18"/>
      <w:szCs w:val="18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  <w:style w:type="paragraph" w:styleId="979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543" w:customStyle="1">
    <w:name w:val="Normal (Web)"/>
    <w:basedOn w:val="90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31</cp:revision>
  <dcterms:created xsi:type="dcterms:W3CDTF">2016-08-25T12:19:00Z</dcterms:created>
  <dcterms:modified xsi:type="dcterms:W3CDTF">2025-01-23T11:26:12Z</dcterms:modified>
  <cp:version>983040</cp:version>
</cp:coreProperties>
</file>