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</w:r>
      <w:r>
        <w:rPr>
          <w:b/>
        </w:rPr>
        <w:t xml:space="preserve">Порядок предоставления субсидий на обустройство контейнерных площадок нового образца на придомовых территориях многоквартирных домов города Перми,</w:t>
      </w:r>
      <w:r>
        <w:t xml:space="preserve"> </w:t>
      </w:r>
      <w:r>
        <w:rPr>
          <w:b/>
        </w:rPr>
        <w:t xml:space="preserve">утвержденный постановлением администрации города Перми </w:t>
      </w:r>
      <w:r>
        <w:rPr>
          <w:b/>
        </w:rPr>
        <w:t xml:space="preserve">от 28.09.2023 № 921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Бюджетным кодексом Российской Федерации, </w:t>
      </w:r>
      <w:r>
        <w:rPr>
          <w:sz w:val="28"/>
          <w:szCs w:val="24"/>
        </w:rPr>
        <w:t xml:space="preserve">постановлением Правительства Пермского края от 25 марта 2019 г. № 224-п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/>
      <w:r>
        <w:rPr>
          <w:sz w:val="28"/>
          <w:szCs w:val="24"/>
        </w:rPr>
        <w:t xml:space="preserve">Об утверждении Порядка предоставления, распределения и расходования субсидии из бюджета Пермского края бюджету Пермского го</w:t>
      </w:r>
      <w:r>
        <w:rPr>
          <w:sz w:val="28"/>
          <w:szCs w:val="24"/>
        </w:rPr>
        <w:t xml:space="preserve">родского округа на реализацию мероприятий по развитию городского пространства</w:t>
      </w:r>
      <w:r>
        <w:rPr>
          <w:sz w:val="28"/>
          <w:szCs w:val="24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»</w:t>
      </w:r>
      <w:r/>
      <w:r>
        <w:rPr>
          <w:sz w:val="28"/>
          <w:szCs w:val="24"/>
        </w:rPr>
        <w:t xml:space="preserve">, постановлением администрации города Перми от 18 октября 2024 г. № 964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/>
      <w:r>
        <w:rPr>
          <w:sz w:val="28"/>
          <w:szCs w:val="24"/>
        </w:rPr>
        <w:t xml:space="preserve">Об утверждении муниципальной программы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/>
      <w:r>
        <w:rPr>
          <w:sz w:val="28"/>
          <w:szCs w:val="24"/>
        </w:rPr>
        <w:t xml:space="preserve">Развитие системы жилищно-коммунального хозяйства в городе Перми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</w:t>
      </w:r>
      <w:r/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</w:p>
    <w:p>
      <w:pPr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 Внести в </w:t>
      </w:r>
      <w:r>
        <w:rPr>
          <w:sz w:val="28"/>
          <w:szCs w:val="28"/>
        </w:rPr>
        <w:t xml:space="preserve">Порядок предоставления субсидий на обустройство контейнерных площадок нового образца на придомовых территориях многоквартирных домов города Перми, утвержденный постановлением администрации города Перми от 28 сентября 2023 г. № 921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(от 29.11.2023 № 1345, от 15.12.2023 № 1408, от 16.02.2024 № 122, от 27.05.2024 № 399, от 18.12.2024 № 1246)</w:t>
      </w:r>
      <w:r/>
      <w:r>
        <w:rPr>
          <w:rFonts w:eastAsia="Calibri"/>
          <w:sz w:val="28"/>
          <w:szCs w:val="28"/>
          <w:highlight w:val="none"/>
          <w:lang w:eastAsia="en-US"/>
        </w:rPr>
        <w:t xml:space="preserve"> 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717"/>
        <w:numPr>
          <w:ilvl w:val="1"/>
          <w:numId w:val="9"/>
        </w:numPr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пункт 4.4.2 дополнить абзацем следующего содержания: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нед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остижения значений результатов и (или) характеристики результата предоставления субсидии, установленных пунктом 2.5 настоящего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орядка;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  <w:t xml:space="preserve">1.2. в приложение 3 внести следующие изменения:</w:t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ffffff" w:fill="ffff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</w:rPr>
        <w:t xml:space="preserve">1.2.1. таблицу в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6"/>
        <w:gridCol w:w="5216"/>
        <w:gridCol w:w="961"/>
        <w:gridCol w:w="850"/>
        <w:gridCol w:w="19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затрат при обустройстве контейнерной площадки нового образца на придомовых территориях многоквартирных домов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Нормативная (предельная) стоимость работ по обустройству контейнерной площадки нового образца, руб. 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контейнерной площадки нового </w:t>
            </w:r>
            <w:r>
              <w:rPr>
                <w:sz w:val="24"/>
                <w:szCs w:val="24"/>
              </w:rPr>
              <w:t xml:space="preserve">образца: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конфигурация 1+1(КГМ)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150 324,93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2+1(КГМ)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248 782,54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3+1(КГМ)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308 519,60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4+1(КГМ)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368 785,73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5+1(КГМ)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426 914,77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6+1(КГМ)</w:t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488 786,06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7+1(КГМ)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548 279,84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8+1(КГМ)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730 732,10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9+1(КГМ)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750 923,39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10+1(КГМ)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850 732,24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11+1(КГМ)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901 949,58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</w:t>
            </w:r>
            <w:r/>
            <w:r>
              <w:rPr>
                <w:sz w:val="24"/>
                <w:szCs w:val="24"/>
              </w:rPr>
              <w:t xml:space="preserve">онфигурация 12+1(КГМ)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970 735,70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асфальтового покрытия подъездного пути и (или) основания </w:t>
            </w:r>
            <w:r>
              <w:rPr>
                <w:sz w:val="24"/>
                <w:szCs w:val="24"/>
              </w:rPr>
              <w:t xml:space="preserve">с заменой основания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3810,54</w:t>
            </w:r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асфальтового покрытия подъездного пути и (или) основания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 заменой основания</w:t>
            </w:r>
            <w:r>
              <w:rPr>
                <w:sz w:val="24"/>
                <w:szCs w:val="24"/>
              </w:rPr>
              <w:t xml:space="preserve"> (один слой асфальта)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2901,07</w:t>
            </w:r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асфальтового покрытия подъездного пути без замены основания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2074,78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бетонного покрытия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4394,92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дорожного борта покрытия и (или) основания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6703,6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тротуарного борта покрытия и (или) основания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4070,52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hd w:val="clear" w:color="ffffff" w:fill="ffffff"/>
        <w:rPr>
          <w:rFonts w:eastAsia="Calibri"/>
          <w:sz w:val="28"/>
          <w:szCs w:val="28"/>
          <w:vertAlign w:val="baseline"/>
        </w:rPr>
      </w:pPr>
      <w:r>
        <w:rPr>
          <w:rFonts w:eastAsia="Calibri"/>
          <w:sz w:val="28"/>
          <w:szCs w:val="28"/>
          <w:highlight w:val="none"/>
        </w:rPr>
        <w:t xml:space="preserve">1.2.2</w:t>
      </w:r>
      <w:r>
        <w:rPr>
          <w:rFonts w:eastAsia="Calibri"/>
          <w:sz w:val="28"/>
          <w:szCs w:val="28"/>
          <w:highlight w:val="white"/>
        </w:rPr>
        <w:t xml:space="preserve">. </w:t>
      </w:r>
      <w:r>
        <w:rPr>
          <w:rFonts w:eastAsia="Calibri"/>
          <w:sz w:val="28"/>
          <w:szCs w:val="28"/>
        </w:rPr>
        <w:t xml:space="preserve">сноску </w:t>
      </w:r>
      <w:r>
        <w:rPr>
          <w:rFonts w:eastAsia="Calibri"/>
          <w:sz w:val="28"/>
          <w:szCs w:val="28"/>
          <w:vertAlign w:val="baseline"/>
        </w:rPr>
        <w:t xml:space="preserve">2 признать утратившей силу;</w:t>
      </w:r>
      <w:r>
        <w:rPr>
          <w:rFonts w:eastAsia="Calibri"/>
          <w:sz w:val="28"/>
          <w:szCs w:val="28"/>
          <w:vertAlign w:val="baseline"/>
        </w:rPr>
      </w:r>
    </w:p>
    <w:p>
      <w:pPr>
        <w:ind w:firstLine="709"/>
        <w:jc w:val="both"/>
        <w:shd w:val="clear" w:color="ffffff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>
        <w:rPr>
          <w:rFonts w:eastAsia="Calibri"/>
          <w:sz w:val="28"/>
          <w:szCs w:val="28"/>
        </w:rPr>
        <w:t xml:space="preserve">таблицу в приложении 4 </w:t>
      </w:r>
      <w:r>
        <w:rPr>
          <w:rFonts w:eastAsia="Calibri"/>
          <w:sz w:val="28"/>
          <w:szCs w:val="28"/>
        </w:rPr>
        <w:t xml:space="preserve">дополнить после строки 2 строк</w:t>
      </w:r>
      <w:r>
        <w:rPr>
          <w:rFonts w:eastAsia="Calibri"/>
          <w:sz w:val="28"/>
          <w:szCs w:val="28"/>
        </w:rPr>
        <w:t xml:space="preserve">ами</w:t>
      </w:r>
      <w:r>
        <w:rPr>
          <w:rFonts w:eastAsia="Calibri"/>
          <w:sz w:val="28"/>
          <w:szCs w:val="28"/>
        </w:rPr>
        <w:t xml:space="preserve"> 2.1</w:t>
      </w:r>
      <w:r>
        <w:rPr>
          <w:rFonts w:eastAsia="Calibri"/>
          <w:sz w:val="28"/>
          <w:szCs w:val="28"/>
        </w:rPr>
        <w:t xml:space="preserve">-2.4</w:t>
      </w:r>
      <w:r>
        <w:rPr>
          <w:rFonts w:eastAsia="Calibri"/>
          <w:sz w:val="28"/>
          <w:szCs w:val="28"/>
        </w:rPr>
        <w:t xml:space="preserve"> следующего содержания:</w:t>
      </w:r>
      <w:r>
        <w:rPr>
          <w:rFonts w:eastAsia="Calibri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"/>
        <w:gridCol w:w="9072"/>
      </w:tblGrid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pStyle w:val="8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наличия на покрытиях пучин, осадок, просадок, размывов, нарушения положения люков колодцев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решеток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дефекты основания дорожной одежды) разборка существующих оснований (при наличии, в том числе железобетонные плиты) и покрытий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последующее устройство нового покрытия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заменой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pStyle w:val="8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на покрытии Внешних дефе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основания дорожной одежды и наличия информации с приложением подтверждающих документов (актов приемки выполненных работ, актов ввода в эксплуатацию, иных документов, содержащих информацию о годе выполнения работ и (или) о наличии в основании покрытия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монолитного бетона толщиной не менее 20 см, и (или) бетонных тоннелей, и (или) каналов, и (или) коллекторов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электроснабжения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конструкции сетей) о ремонте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заменой основания не позднее 24 лет до даты запланированного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обустройства контейнерной площадки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образца на придомовых территориях многоквартирных домов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о вводе дома в эксплуатацию не позднее 24 лет до даты запланированного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обустройства контейнерной площадки нового образца на придомовых территориях многоквартирных домов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при наличии в основании покрытия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подъездного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монолитного бетона толщиной не менее 20 см и (или) Строительных конструкций сетей устройство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замены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pStyle w:val="8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заменой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подъездного пути покрытия со следующей толщиной конструктивных слоев: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укладка песчано-гравийной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толщиной не менее 0,35 м, щебня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0,2 м, нижнего слоя из крупнозернистого асфальтобетона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см, верхнего слоя из мелкозернистого асфальтобетона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проведения работ на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не имеет сквозного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для автомобилей: укладка песчано-гравийной смеси – толщиной не менее 0,35 м, щебня – не менее 0,2 м, верхнего слоя из мелкозернистого асфальтобетона – не менее 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pStyle w:val="8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выполнении работ без замены основания: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покрытия со следующей толщиной конструктивных слоев: укладка щебня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объеме, обеспечивающем толщину слоя в сумме с имеющимся щебеночным основанием не менее 8 см, мелкозернистого асфальтобетона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</w:t>
      </w:r>
      <w:r>
        <w:rPr>
          <w:sz w:val="28"/>
          <w:szCs w:val="24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5. </w:t>
      </w:r>
      <w:r>
        <w:rPr>
          <w:sz w:val="28"/>
          <w:szCs w:val="24"/>
          <w:lang w:eastAsia="en-US"/>
        </w:rPr>
        <w:t xml:space="preserve">Контроль за</w:t>
      </w:r>
      <w:r>
        <w:rPr>
          <w:sz w:val="28"/>
          <w:szCs w:val="24"/>
          <w:lang w:eastAsia="en-US"/>
        </w:rPr>
        <w:t xml:space="preserve"> исполнением настоящего постановления возложить </w:t>
      </w:r>
      <w:r>
        <w:rPr>
          <w:sz w:val="28"/>
          <w:szCs w:val="24"/>
          <w:lang w:eastAsia="en-US"/>
        </w:rPr>
        <w:br/>
        <w:t xml:space="preserve">на заместителя главы администрации города Перми Субботина И.А.</w:t>
      </w:r>
      <w:r>
        <w:rPr>
          <w:sz w:val="28"/>
          <w:szCs w:val="24"/>
          <w:lang w:eastAsia="en-US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 </w:t>
      </w:r>
      <w:r>
        <w:rPr>
          <w:rFonts w:eastAsia="Calibri"/>
          <w:sz w:val="28"/>
          <w:szCs w:val="28"/>
          <w:lang w:eastAsia="en-US"/>
        </w:rPr>
        <w:tab/>
        <w:t xml:space="preserve">   Э.О. Соснин</w:t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36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</w:style>
  <w:style w:type="paragraph" w:styleId="680">
    <w:name w:val="Heading 1"/>
    <w:basedOn w:val="679"/>
    <w:next w:val="679"/>
    <w:link w:val="708"/>
    <w:qFormat/>
    <w:pPr>
      <w:ind w:right="-1" w:firstLine="709"/>
      <w:jc w:val="both"/>
      <w:keepNext/>
      <w:outlineLvl w:val="0"/>
    </w:pPr>
    <w:rPr>
      <w:sz w:val="24"/>
    </w:rPr>
  </w:style>
  <w:style w:type="paragraph" w:styleId="681">
    <w:name w:val="Heading 2"/>
    <w:basedOn w:val="679"/>
    <w:next w:val="679"/>
    <w:link w:val="709"/>
    <w:qFormat/>
    <w:pPr>
      <w:ind w:right="-1"/>
      <w:jc w:val="both"/>
      <w:keepNext/>
      <w:outlineLvl w:val="1"/>
    </w:pPr>
    <w:rPr>
      <w:sz w:val="24"/>
    </w:rPr>
  </w:style>
  <w:style w:type="paragraph" w:styleId="682">
    <w:name w:val="Heading 3"/>
    <w:basedOn w:val="679"/>
    <w:next w:val="679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next w:val="6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694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89"/>
    <w:uiPriority w:val="10"/>
    <w:rPr>
      <w:sz w:val="48"/>
      <w:szCs w:val="48"/>
    </w:rPr>
  </w:style>
  <w:style w:type="character" w:styleId="702" w:customStyle="1">
    <w:name w:val="Subtitle Char"/>
    <w:basedOn w:val="689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Caption Char"/>
    <w:uiPriority w:val="99"/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79"/>
    <w:uiPriority w:val="34"/>
    <w:qFormat/>
    <w:pPr>
      <w:contextualSpacing/>
      <w:ind w:left="720"/>
    </w:pPr>
  </w:style>
  <w:style w:type="paragraph" w:styleId="718">
    <w:name w:val="No Spacing"/>
    <w:uiPriority w:val="1"/>
    <w:qFormat/>
  </w:style>
  <w:style w:type="paragraph" w:styleId="719">
    <w:name w:val="Title"/>
    <w:basedOn w:val="679"/>
    <w:next w:val="679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link w:val="719"/>
    <w:uiPriority w:val="10"/>
    <w:rPr>
      <w:sz w:val="48"/>
      <w:szCs w:val="48"/>
    </w:rPr>
  </w:style>
  <w:style w:type="paragraph" w:styleId="721">
    <w:name w:val="Subtitle"/>
    <w:basedOn w:val="679"/>
    <w:next w:val="679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79"/>
    <w:next w:val="679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79"/>
    <w:next w:val="679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79"/>
    <w:link w:val="882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Header Char"/>
    <w:uiPriority w:val="99"/>
  </w:style>
  <w:style w:type="paragraph" w:styleId="729">
    <w:name w:val="Footer"/>
    <w:basedOn w:val="679"/>
    <w:link w:val="732"/>
    <w:pPr>
      <w:tabs>
        <w:tab w:val="center" w:pos="4153" w:leader="none"/>
        <w:tab w:val="right" w:pos="8306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79"/>
    <w:next w:val="67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2" w:customStyle="1">
    <w:name w:val="Нижний колонтитул Знак"/>
    <w:link w:val="729"/>
    <w:uiPriority w:val="99"/>
  </w:style>
  <w:style w:type="table" w:styleId="733">
    <w:name w:val="Table Grid"/>
    <w:basedOn w:val="69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footnote text"/>
    <w:basedOn w:val="679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79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79"/>
    <w:next w:val="679"/>
    <w:uiPriority w:val="39"/>
    <w:unhideWhenUsed/>
    <w:pPr>
      <w:spacing w:after="57"/>
    </w:pPr>
  </w:style>
  <w:style w:type="paragraph" w:styleId="867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8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9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70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71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72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73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74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  <w:rPr>
      <w:lang w:eastAsia="zh-CN"/>
    </w:rPr>
  </w:style>
  <w:style w:type="paragraph" w:styleId="876">
    <w:name w:val="table of figures"/>
    <w:basedOn w:val="679"/>
    <w:next w:val="679"/>
    <w:uiPriority w:val="99"/>
    <w:unhideWhenUsed/>
  </w:style>
  <w:style w:type="paragraph" w:styleId="877">
    <w:name w:val="Body Text"/>
    <w:basedOn w:val="679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679"/>
    <w:pPr>
      <w:ind w:right="-1"/>
      <w:jc w:val="both"/>
    </w:pPr>
    <w:rPr>
      <w:sz w:val="26"/>
    </w:rPr>
  </w:style>
  <w:style w:type="character" w:styleId="879">
    <w:name w:val="page number"/>
    <w:basedOn w:val="689"/>
  </w:style>
  <w:style w:type="paragraph" w:styleId="880">
    <w:name w:val="Balloon Text"/>
    <w:basedOn w:val="679"/>
    <w:link w:val="881"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link w:val="880"/>
    <w:rPr>
      <w:rFonts w:ascii="Segoe UI" w:hAnsi="Segoe UI" w:cs="Segoe UI"/>
      <w:sz w:val="18"/>
      <w:szCs w:val="18"/>
    </w:rPr>
  </w:style>
  <w:style w:type="character" w:styleId="882" w:customStyle="1">
    <w:name w:val="Верхний колонтитул Знак"/>
    <w:link w:val="727"/>
    <w:uiPriority w:val="99"/>
  </w:style>
  <w:style w:type="paragraph" w:styleId="883" w:customStyle="1">
    <w:name w:val="Форма"/>
    <w:rPr>
      <w:sz w:val="28"/>
      <w:szCs w:val="28"/>
    </w:rPr>
  </w:style>
  <w:style w:type="character" w:styleId="884">
    <w:name w:val="annotation reference"/>
    <w:rPr>
      <w:sz w:val="16"/>
      <w:szCs w:val="16"/>
    </w:rPr>
  </w:style>
  <w:style w:type="paragraph" w:styleId="885">
    <w:name w:val="annotation text"/>
    <w:basedOn w:val="679"/>
    <w:link w:val="886"/>
  </w:style>
  <w:style w:type="character" w:styleId="886" w:customStyle="1">
    <w:name w:val="Текст примечания Знак"/>
    <w:basedOn w:val="689"/>
    <w:link w:val="885"/>
  </w:style>
  <w:style w:type="paragraph" w:styleId="887">
    <w:name w:val="annotation subject"/>
    <w:basedOn w:val="885"/>
    <w:next w:val="885"/>
    <w:link w:val="888"/>
    <w:rPr>
      <w:b/>
      <w:bCs/>
    </w:rPr>
  </w:style>
  <w:style w:type="character" w:styleId="888" w:customStyle="1">
    <w:name w:val="Тема примечания Знак"/>
    <w:link w:val="887"/>
    <w:rPr>
      <w:b/>
      <w:bCs/>
    </w:rPr>
  </w:style>
  <w:style w:type="paragraph" w:styleId="889" w:customStyle="1">
    <w:name w:val="ConsPlusNormal"/>
    <w:pPr>
      <w:widowControl w:val="off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9</cp:revision>
  <dcterms:created xsi:type="dcterms:W3CDTF">2024-11-14T11:19:00Z</dcterms:created>
  <dcterms:modified xsi:type="dcterms:W3CDTF">2025-01-27T10:41:42Z</dcterms:modified>
  <cp:version>917504</cp:version>
</cp:coreProperties>
</file>