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-40004</wp:posOffset>
                </wp:positionV>
                <wp:extent cx="6285865" cy="115443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54430"/>
                          <a:chOff x="0" y="0"/>
                          <a:chExt cx="62858" cy="1154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0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426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458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3.15pt;mso-position-vertical:absolute;width:494.95pt;height:90.90pt;mso-wrap-distance-left:9.00pt;mso-wrap-distance-top:0.00pt;mso-wrap-distance-right:9.00pt;mso-wrap-distance-bottom:0.00pt;" coordorigin="0,0" coordsize="628,115">
                <v:shape id="shape 2" o:spid="_x0000_s2" o:spt="202" type="#_x0000_t202" style="position:absolute;left:0;top:0;width:628;height:108;visibility:visible;" fillcolor="#FFFFFF" stroked="f">
                  <v:textbox inset="0,0,0,0">
                    <w:txbxContent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84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84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4"/>
        <w:tabs>
          <w:tab w:val="left" w:pos="3969" w:leader="none"/>
          <w:tab w:val="left" w:pos="4820" w:leader="none"/>
        </w:tabs>
      </w:pPr>
      <w:r/>
      <w:r/>
    </w:p>
    <w:p>
      <w:pPr>
        <w:pStyle w:val="934"/>
        <w:ind w:right="4818"/>
        <w:tabs>
          <w:tab w:val="left" w:pos="3969" w:leader="none"/>
          <w:tab w:val="left" w:pos="4820" w:leader="none"/>
        </w:tabs>
      </w:pPr>
      <w:r/>
      <w:r/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13.06.2023 № 482 «Об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субсидий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целях возмещения затрат, связанных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уплатой лизинговых платежей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договорам финансовой аренды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(лизинга) на приобретение автобусов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части процентов по лизинговым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40" w:lineRule="exact"/>
      </w:pPr>
      <w:r>
        <w:rPr>
          <w:b/>
          <w:sz w:val="28"/>
          <w:szCs w:val="28"/>
        </w:rPr>
        <w:t xml:space="preserve">ставкам» </w:t>
      </w:r>
      <w:r/>
    </w:p>
    <w:p>
      <w:pPr>
        <w:ind w:right="46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6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 в </w:t>
      </w:r>
      <w:r>
        <w:rPr>
          <w:sz w:val="28"/>
          <w:szCs w:val="28"/>
        </w:rPr>
        <w:t xml:space="preserve">преамбул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постановления администрации города Перми </w:t>
      </w:r>
      <w:r>
        <w:rPr>
          <w:sz w:val="28"/>
          <w:szCs w:val="28"/>
        </w:rPr>
        <w:t xml:space="preserve">от 13 июня 2023 г. № 482 «Об утверждении Порядка предоставления субсидий </w:t>
      </w:r>
      <w:r>
        <w:rPr>
          <w:sz w:val="28"/>
          <w:szCs w:val="28"/>
        </w:rPr>
        <w:t xml:space="preserve">в целях возмещения затрат, связанных с уплатой лизинговых платежей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договорам финансовой аренды (лизинга) на приобретение автобусов в части процентов по лизинговым ставкам»</w:t>
      </w:r>
      <w:r>
        <w:rPr>
          <w:sz w:val="28"/>
          <w:szCs w:val="28"/>
        </w:rPr>
        <w:t xml:space="preserve">, заменив </w:t>
      </w:r>
      <w:r>
        <w:rPr>
          <w:sz w:val="28"/>
          <w:szCs w:val="28"/>
        </w:rPr>
        <w:t xml:space="preserve">слова «18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форме субсидий, юридическим лицам, индивидуальным предпринимателям,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отдельных положений некоторых актов Правительства Российской Федерации», решением Пермской городской Думы от 20 декабря 2022 г. № 267 «О бюджете города Перми на 2023 год и на плановый период 2024 и 2025 годов» словами </w:t>
      </w:r>
      <w:r>
        <w:rPr>
          <w:sz w:val="28"/>
          <w:szCs w:val="28"/>
        </w:rPr>
        <w:br/>
        <w:t xml:space="preserve">«25 октября 2023 г. № 1782 «Об утверждении общих требований к нормативным</w:t>
      </w:r>
      <w:r>
        <w:rPr>
          <w:sz w:val="28"/>
          <w:szCs w:val="28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</w:t>
      </w:r>
      <w:r>
        <w:rPr>
          <w:sz w:val="28"/>
          <w:szCs w:val="28"/>
        </w:rPr>
        <w:t xml:space="preserve">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Уставом города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прилагаемые изменения в Порядок предоставления субсидий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целях возмещения затрат, связанных с уплатой лизинговых платежей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договорам финансовой аренды (лизинга) на приобретение автобусов в части </w:t>
      </w:r>
      <w:r>
        <w:rPr>
          <w:color w:val="000000"/>
          <w:sz w:val="28"/>
          <w:szCs w:val="28"/>
        </w:rPr>
        <w:t xml:space="preserve">процентов по лизинговым ставкам, утвержденный постановлением администрации города Перми от 13 июня 2023 г. № 482.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color w:val="000000"/>
          <w:sz w:val="28"/>
          <w:szCs w:val="28"/>
        </w:rPr>
        <w:t xml:space="preserve">» и распространяет свое действие на правоотношения, возникшие </w:t>
      </w:r>
      <w:r>
        <w:rPr>
          <w:color w:val="000000"/>
          <w:sz w:val="28"/>
          <w:szCs w:val="28"/>
        </w:rPr>
        <w:t xml:space="preserve">с 01</w:t>
      </w:r>
      <w:r>
        <w:rPr>
          <w:color w:val="000000"/>
          <w:sz w:val="28"/>
          <w:szCs w:val="28"/>
        </w:rPr>
        <w:t xml:space="preserve"> января 2025 г.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5. Управлению по общим вопр</w:t>
      </w:r>
      <w:r>
        <w:rPr>
          <w:color w:val="000000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29.01.2025 № 31</w:t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ИЗМЕНЕНИЯ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в Порядок </w:t>
      </w:r>
      <w:r>
        <w:rPr>
          <w:b/>
          <w:bCs/>
          <w:sz w:val="28"/>
          <w:szCs w:val="28"/>
        </w:rPr>
        <w:t xml:space="preserve">предоставления субсидий в целях возмещения затрат, связанных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с уплатой лизинговых платежей по договорам финансовой аренды (лизинга)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на приобретение автобусов в части процентов по лизинговым ставкам,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от 13 июня 2023 г. № 482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 пункте 1.1 после слов «для получения Субсидий» дополнить словами </w:t>
      </w:r>
      <w:r>
        <w:rPr>
          <w:sz w:val="28"/>
          <w:szCs w:val="28"/>
        </w:rPr>
        <w:br/>
        <w:t xml:space="preserve">«в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 пункте 1.2 слова «Организация регулярных перевозок автомобильным и городским наземным электрическим транспортом в городе Перми» заменить словами «Организация регулярных перевозок общественным транспортом в городе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 Дополнить пунктом 1.3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«1.3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Способом предоставления Субсидии является возмещение затрат, </w:t>
      </w:r>
      <w:r>
        <w:rPr>
          <w:color w:val="000000"/>
          <w:sz w:val="28"/>
          <w:szCs w:val="28"/>
        </w:rPr>
        <w:t xml:space="preserve">связанных с уплатой лизинговых платежей по договорам финансовой аренды (лизинга) на приобретение автобусов в части процентов по лизинговым ставкам.».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«1.4.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портал) в порядке, установленном Министерством финансов Российской Федерации.».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Раздел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орядок проведения отбора Получателей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Отбор осуществляется в системе «Электронный бюджет». Взаимодействие Участников отбора и Департамента осуществляется с использованием документов в электронной форме.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288" w:lineRule="atLeast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</w:t>
      </w:r>
      <w:r>
        <w:rPr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</w:t>
      </w:r>
      <w:r>
        <w:rPr>
          <w:color w:val="000000" w:themeColor="text1"/>
          <w:sz w:val="28"/>
          <w:szCs w:val="28"/>
        </w:rPr>
        <w:t xml:space="preserve">ля предоставления государственных и муниципальных услуг в электронной форме».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Департамент ежегодно до 15 </w:t>
      </w:r>
      <w:r>
        <w:rPr>
          <w:color w:val="000000" w:themeColor="text1"/>
          <w:sz w:val="28"/>
          <w:szCs w:val="28"/>
        </w:rPr>
        <w:t xml:space="preserve">февраля</w:t>
      </w:r>
      <w:r>
        <w:rPr>
          <w:color w:val="000000" w:themeColor="text1"/>
          <w:sz w:val="28"/>
          <w:szCs w:val="28"/>
        </w:rPr>
        <w:t xml:space="preserve"> текущего года объявляет о проведении Отбора Получателей субсидии на текущий финансовый год (далее – Объявление).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 Объявление об Отборе формируется в электронной форме посредством заполнения соответствующих экранных форм веб-инт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рфейса системы «Электронный бюджет», </w:t>
      </w:r>
      <w:r>
        <w:rPr>
          <w:color w:val="000000" w:themeColor="text1"/>
          <w:sz w:val="28"/>
          <w:szCs w:val="28"/>
        </w:rPr>
        <w:t xml:space="preserve">подп</w:t>
      </w:r>
      <w:r>
        <w:rPr>
          <w:color w:val="000000"/>
          <w:sz w:val="28"/>
          <w:szCs w:val="28"/>
        </w:rPr>
        <w:t xml:space="preserve">исывается усиленной квалифицированной </w:t>
      </w:r>
      <w:r>
        <w:rPr>
          <w:color w:val="000000"/>
          <w:sz w:val="28"/>
          <w:szCs w:val="28"/>
        </w:rPr>
        <w:t xml:space="preserve">электронной подписью начальника Департамента (уполномоченного им лица), публикуется на едином портале, а также на официальном сайте Департамента и включает следующую информацию: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2.2.1. сроки проведения Отбора;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2.2.2. дата и время начала подачи заявок </w:t>
      </w:r>
      <w:r>
        <w:rPr>
          <w:color w:val="000000"/>
          <w:sz w:val="28"/>
          <w:szCs w:val="28"/>
        </w:rPr>
        <w:t xml:space="preserve">на предоставление субсидии </w:t>
      </w:r>
      <w:r>
        <w:rPr>
          <w:color w:val="000000"/>
          <w:sz w:val="28"/>
          <w:szCs w:val="28"/>
        </w:rPr>
        <w:t xml:space="preserve">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</w:t>
      </w:r>
      <w:r>
        <w:rPr>
          <w:color w:val="000000"/>
          <w:sz w:val="28"/>
          <w:szCs w:val="28"/>
        </w:rPr>
        <w:t xml:space="preserve">(далее – Заявка) </w:t>
      </w:r>
      <w:r>
        <w:rPr>
          <w:color w:val="000000"/>
          <w:sz w:val="28"/>
          <w:szCs w:val="28"/>
        </w:rPr>
        <w:t xml:space="preserve">Участников отбора, а также дата </w:t>
      </w:r>
      <w:r>
        <w:rPr>
          <w:color w:val="000000"/>
          <w:sz w:val="28"/>
          <w:szCs w:val="28"/>
        </w:rPr>
        <w:br/>
        <w:t xml:space="preserve">и время окончания приема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Участников отбора,</w:t>
      </w:r>
      <w:r>
        <w:t xml:space="preserve"> </w:t>
      </w:r>
      <w:r>
        <w:rPr>
          <w:color w:val="000000"/>
          <w:sz w:val="28"/>
          <w:szCs w:val="28"/>
        </w:rPr>
        <w:t xml:space="preserve">которая не может быть ранее 10 календарного дня, следующего за днем размещения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бъявления о проведении Отбора;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2.2.3. наименование, местонахождение, почтовый адрес, адрес электронной почты, контактный телефон Департамента;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2.2.4. результаты предоставления Субсидий в соответствии с пунктом 3.13 настоящего Порядка;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2.2.5. требования к Участникам отбора в соответствии с пунктами </w:t>
      </w:r>
      <w:r>
        <w:rPr>
          <w:color w:val="000000" w:themeColor="text1"/>
          <w:sz w:val="28"/>
          <w:szCs w:val="28"/>
        </w:rPr>
        <w:t xml:space="preserve">2.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, 2.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.1-2.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.9</w:t>
      </w:r>
      <w:r>
        <w:rPr>
          <w:color w:val="000000" w:themeColor="text1"/>
          <w:sz w:val="28"/>
          <w:szCs w:val="28"/>
        </w:rPr>
        <w:t xml:space="preserve"> настоящего Порядка</w:t>
      </w:r>
      <w:r>
        <w:rPr>
          <w:color w:val="000000" w:themeColor="text1"/>
          <w:sz w:val="28"/>
          <w:szCs w:val="28"/>
        </w:rPr>
        <w:t xml:space="preserve">, а также к перечню документов, представляемых Участниками отбора для подтверждения соответствия указанным требованиям;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2.2.6. категории Получателей субсидии и критерии Отбора;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2.2.7. порядок подачи Участниками отбора</w:t>
      </w:r>
      <w:r>
        <w:rPr>
          <w:color w:val="000000" w:themeColor="text1"/>
          <w:sz w:val="28"/>
          <w:szCs w:val="28"/>
        </w:rPr>
        <w:t xml:space="preserve"> З</w:t>
      </w:r>
      <w:r>
        <w:rPr>
          <w:color w:val="000000" w:themeColor="text1"/>
          <w:sz w:val="28"/>
          <w:szCs w:val="28"/>
        </w:rPr>
        <w:t xml:space="preserve">аявок и требования, предъявляемые к форме и содержанию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аявок, в соответствии с пунктами </w:t>
      </w:r>
      <w:r>
        <w:rPr>
          <w:color w:val="000000" w:themeColor="text1"/>
          <w:sz w:val="28"/>
          <w:szCs w:val="28"/>
        </w:rPr>
        <w:t xml:space="preserve">2.6, 2.8,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2.9, 2.9.1-2.9.4 настоящего Порядка;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2.2.8. порядок отзыва Участниками отбора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аявок, порядок их возврата, определяющие в том числе основания для возврата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аявок, порядок внесения изменений в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аявки в соответствии с пунктами </w:t>
      </w:r>
      <w:r>
        <w:rPr>
          <w:color w:val="000000" w:themeColor="text1"/>
          <w:sz w:val="28"/>
          <w:szCs w:val="28"/>
        </w:rPr>
        <w:t xml:space="preserve">2.11</w:t>
      </w:r>
      <w:r>
        <w:rPr>
          <w:color w:val="000000" w:themeColor="text1"/>
          <w:sz w:val="28"/>
          <w:szCs w:val="28"/>
        </w:rPr>
        <w:t xml:space="preserve">, 2.12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настоящего Порядка;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2.2.9. порядок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  <w:sz w:val="28"/>
          <w:szCs w:val="28"/>
        </w:rPr>
        <w:t xml:space="preserve"> рассмотрения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аявок Участников отбора в соответствии с настоящим разделом;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2.2.10. порядок отклонения </w:t>
      </w:r>
      <w:r>
        <w:rPr>
          <w:color w:val="000000" w:themeColor="text1"/>
          <w:sz w:val="28"/>
          <w:szCs w:val="28"/>
        </w:rPr>
        <w:t xml:space="preserve">З</w:t>
      </w:r>
      <w:r>
        <w:rPr>
          <w:color w:val="000000" w:themeColor="text1"/>
          <w:sz w:val="28"/>
          <w:szCs w:val="28"/>
        </w:rPr>
        <w:t xml:space="preserve">аявок, а также информация об основании их отклонения согласно пункту </w:t>
      </w:r>
      <w:r>
        <w:rPr>
          <w:color w:val="000000" w:themeColor="text1"/>
          <w:sz w:val="28"/>
          <w:szCs w:val="28"/>
        </w:rPr>
        <w:t xml:space="preserve">2.1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настоящего Порядка;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2.2.11. объем распределяемой Субсидии в рамках Отбора, порядок расчета размера Субсидии, установл</w:t>
      </w:r>
      <w:r>
        <w:rPr>
          <w:color w:val="000000"/>
          <w:sz w:val="28"/>
          <w:szCs w:val="28"/>
        </w:rPr>
        <w:t xml:space="preserve">енный разделом 3 настоящего Порядка,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2.2.12. порядок предоставления Участникам отбора разъяснений положений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бъявления о проведении Отбора, даты начала и окончания срока такого предоставления;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2.2.13. срок, в течение которого победитель Отбора должен подписать Договор на предоставление Субсидий, указанный в соответствии с пунктом 3.3 настоящего Порядка;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2.2.14. условия признания победителя Отбора уклонившимся от заключения договора, если победитель отбора не подписал договор в течение срока, указанного в Объявлении;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2.2.15. сроки размещения протокола подведения итогов Отбора на едином портале, официальном сайте Департамента, которые не могут быть позднее 14 календарного дня, следующего за днем определения победителя Отбора.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2.3. Внесение изменений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бъявление о проведении Отбора осуществляется не позднее наступления даты окончания приема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 Участников отбора, при этом срок подачи Участниками отбора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 должен быть продлен таким образом, чтобы со дня, следующего за днем внесения таких изменений, до даты окончания приема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 указанный срок составлял не менее 3 календарных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бъявление о проведении Отбора изменение способа отбора Получателей субсидии не допускается.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бъявление о проведении Отбора после наступления даты начала приема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аявок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бъявление о проведении Отбора включается положение, предусматривающее право Участников отбора внести изменения в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отбора, подавшие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аявки, уведомляются о внесении изменений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бъявление о проведении отбора не позднее дня, следующего за днем внесения изменений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бъявление о проведении Отбора, с использованием системы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2.4. Требования к Участнику отбора, которым он должен соответствовать </w:t>
      </w:r>
      <w:r>
        <w:rPr>
          <w:sz w:val="28"/>
          <w:szCs w:val="28"/>
        </w:rPr>
        <w:br/>
        <w:t xml:space="preserve">на дату подачи Заявки и заключения </w:t>
      </w:r>
      <w:r>
        <w:rPr>
          <w:color w:val="000000"/>
          <w:sz w:val="28"/>
          <w:szCs w:val="28"/>
        </w:rPr>
        <w:t xml:space="preserve">договора на предоставление Субсидий </w:t>
      </w:r>
      <w:r>
        <w:rPr>
          <w:color w:val="000000"/>
          <w:sz w:val="28"/>
          <w:szCs w:val="28"/>
        </w:rPr>
        <w:br/>
        <w:t xml:space="preserve">в целях возмещения затрат, связанных с уплатой лизинговых платежей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договорам финансовой аренды (лизинга) на приобретение автобусов в части процентов по лизинговым ставкам: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2.4.1. Участник отбора не является иностранным юридическим лицом, в том числе место</w:t>
      </w:r>
      <w:r>
        <w:rPr>
          <w:color w:val="000000"/>
          <w:sz w:val="28"/>
          <w:szCs w:val="28"/>
        </w:rPr>
        <w:t xml:space="preserve">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color w:val="000000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color w:val="000000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2.4.3.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</w:t>
      </w:r>
      <w:r>
        <w:rPr>
          <w:color w:val="000000"/>
          <w:sz w:val="28"/>
          <w:szCs w:val="28"/>
        </w:rPr>
        <w:t xml:space="preserve">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2.4.4. Участник отбора не получает средства из бюджета города Перми </w:t>
      </w:r>
      <w:r>
        <w:rPr>
          <w:color w:val="000000"/>
          <w:sz w:val="28"/>
          <w:szCs w:val="28"/>
        </w:rPr>
        <w:br/>
        <w:t xml:space="preserve">на основании иных нормативных правовых актов на цели, указанные в пункте 1.2 настоящего Порядка;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2.4.5. Участник отбора не является иностранным агентом в соответствии с Федеральным законо</w:t>
      </w:r>
      <w:r>
        <w:rPr>
          <w:color w:val="000000"/>
          <w:sz w:val="30"/>
          <w:szCs w:val="30"/>
        </w:rPr>
        <w:t xml:space="preserve">м от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14 июля 2022 г. </w:t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  <w:t xml:space="preserve">№ 255-ФЗ </w:t>
      </w:r>
      <w:r>
        <w:rPr>
          <w:color w:val="000000"/>
          <w:sz w:val="28"/>
          <w:szCs w:val="28"/>
        </w:rPr>
        <w:t xml:space="preserve">«О контроле за деятельностью лиц, находящихся под иностранным влиянием»;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2.4.6. у Участни</w:t>
      </w:r>
      <w:r>
        <w:rPr>
          <w:color w:val="000000"/>
          <w:sz w:val="28"/>
          <w:szCs w:val="28"/>
        </w:rPr>
        <w:t xml:space="preserve">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2.4.7. у Участника отбора отсутствуют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2.4.8. Участник отбора, являющийся юридическим лицом, не находится в процессе реорганизации (за исключением реорганизации в форме присоединения </w:t>
      </w:r>
      <w:r>
        <w:rPr>
          <w:color w:val="000000"/>
          <w:sz w:val="28"/>
          <w:szCs w:val="28"/>
        </w:rPr>
        <w:br/>
        <w:t xml:space="preserve">к юридическому лицу, являющемуся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частником отбора, другого юридического лица), ликвидации, в отношении его не введена процедура банкротства, деятельность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2.4.9. в реестре дисквалифицированных лиц отсутствуют сведения </w:t>
      </w:r>
      <w:r>
        <w:rPr>
          <w:color w:val="000000"/>
          <w:sz w:val="28"/>
          <w:szCs w:val="28"/>
        </w:rPr>
        <w:br/>
        <w:t xml:space="preserve">о дисквалифицированных руководителе, чле</w:t>
      </w:r>
      <w:r>
        <w:rPr>
          <w:color w:val="000000"/>
          <w:sz w:val="28"/>
          <w:szCs w:val="28"/>
        </w:rPr>
        <w:t xml:space="preserve">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 Критерии Отбора Получателей субсидий: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2.5.1. Участник отбора зарегистрирован и осуществляет деятельность на территории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2.5.2. Участником отбора заключен муниципальный контракт на выполнение ра</w:t>
      </w:r>
      <w:r>
        <w:rPr>
          <w:color w:val="000000"/>
          <w:sz w:val="28"/>
          <w:szCs w:val="28"/>
        </w:rPr>
        <w:t xml:space="preserve">бот, связанных с осуществлением регулярных перевозок пассажиров и багажа автомобильным транспортом по муниципальным маршрутам регулярных перевозок города Перми по регулируемым тарифам города Перми, действующий в период предоставления Субсидий, указанный в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бъявлении о проведении Отбора (далее – Муниципальный контракт);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2.5.3. Участник отбора является лизингополучателем по договору финансовой аренды (лизинга) на поставку автобусов, в соответствии с которым поставка автобусов осуществлена не ранее 01 июля 2022 г. (далее – Договор лизинга);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2.5.4. автобусы, поставляемые по Договору лизинга, должны быть произведены не ранее, чем за 1 календарный год до даты поставки, установленной в Договоре лизинга;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2.5.5. Участник отбора является участником отрасле</w:t>
      </w:r>
      <w:r>
        <w:rPr>
          <w:color w:val="000000"/>
          <w:sz w:val="28"/>
          <w:szCs w:val="28"/>
        </w:rPr>
        <w:t xml:space="preserve">вого соглашения по автомобильному и городскому наземному пассажирскому транспорту Российской Федерации или иного федерального отраслевого соглашения, действие которого распространяется на сферу деятельности Участника отбора (далее – Отраслевое соглашение);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2.5.6. у Участника отбора сформирована первичная профсоюзная организация;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2.5.7. количество автобусов Участника отбора, приобретенных по Договору лизинга и задействованных на выполнении работ по заключенному Муниципальному контракту, должно соответствовать количеству, предусмотренному Муниципальным контрактом.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2.6. Для участия в Отборе Участник отбора формирует заявку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предоставление Субсидий в электронной форме посредством </w:t>
      </w:r>
      <w:r>
        <w:rPr>
          <w:sz w:val="28"/>
          <w:szCs w:val="28"/>
        </w:rPr>
        <w:t xml:space="preserve">заполнения соответствующих экранных форм веб-инт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рфейса системы </w:t>
      </w:r>
      <w:r>
        <w:rPr>
          <w:color w:val="000000"/>
          <w:sz w:val="28"/>
          <w:szCs w:val="28"/>
        </w:rPr>
        <w:t xml:space="preserve">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бъявлении о проведении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Заявка подписывается усиленной квалифицированной электронной подписью руководителя организации или уполномоченного им лица (с представлением документов, подтверждающих полномочия указанного лица).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2.7.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2.8. Датой и временем предоставления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«Электронный бюджет».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2.9. Заявка содержит следующие сведения: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2.9.1. информаци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об Участнике отбора и документы: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полное и сокращенное наименование Участника отбора (для юридических лиц);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фамили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, имя, отчество (при наличии) индивидуального предпринимателя;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основной государственный регистрационный номер Участника отбора;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идентификационный номер налогоплательщика;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дат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постановки на учет в налоговом органе (для индивидуальных предпринимателей);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дат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и код причины постановки на учет в налоговом органе (для юридических лиц);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страховой номер индивидуального лицевого счета, адрес юридического лица, адрес регистрации (для индивидуальных предпринимателей);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фамили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, имя, отчество (при наличии) и иден</w:t>
      </w:r>
      <w:r>
        <w:rPr>
          <w:color w:val="000000"/>
          <w:sz w:val="28"/>
          <w:szCs w:val="28"/>
        </w:rPr>
        <w:t xml:space="preserve">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информаци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 (для юридических лиц);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информаци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2.9.2. информаци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и документы, подтверждающие соответствие Участника отбора требованиям, установленным в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бъявлении;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2.9.3. информация и документы, представляемые при проведении Отбора в процессе документооборота: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подтверждение согласия на публикацию (размещение) в информационно-телекоммуникационной сети Интернет информации об Участнике отбора, о подаваемо</w:t>
      </w:r>
      <w:r>
        <w:rPr>
          <w:color w:val="000000"/>
          <w:sz w:val="28"/>
          <w:szCs w:val="28"/>
        </w:rPr>
        <w:t xml:space="preserve">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индивидуальных предпринимателей);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2.9.4. предлагаемые Участником отбора значения результата предоставления Субсидии, указанного в разделе 3 настоящего Порядка, значения запрашиваемого Участником отбора размера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2.10. Дополнительно к Заявке прикладываются следующие документы: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2.10.1. копия Договора лизинга;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2.10.2. документ, подтверждающий присоединение к Отраслевому соглашению;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2.10.3. документы, подтверждающие достижение показателей Отраслевого соглашения: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базовая (минима</w:t>
      </w:r>
      <w:r>
        <w:rPr>
          <w:color w:val="000000"/>
          <w:sz w:val="28"/>
          <w:szCs w:val="28"/>
        </w:rPr>
        <w:t xml:space="preserve">льная) тарифная ставка рабочих 1-го разряда при работе в нормальных условиях труда, полной отработке месячной нормы рабочего времени и выполнении нормы труда установлена в размере не ниже минимального размера оплаты труда, принятого в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уровень заработной платы в размере не менее </w:t>
      </w:r>
      <w:r>
        <w:rPr>
          <w:color w:val="000000"/>
          <w:sz w:val="28"/>
          <w:szCs w:val="28"/>
        </w:rPr>
        <w:t xml:space="preserve">двухкратного</w:t>
      </w:r>
      <w:r>
        <w:rPr>
          <w:color w:val="000000"/>
          <w:sz w:val="28"/>
          <w:szCs w:val="28"/>
        </w:rPr>
        <w:t xml:space="preserve"> прожиточного минимума трудоспособного населения в Пермском крае. При этом минимальный гарантированный размер месячной заработной п</w:t>
      </w:r>
      <w:r>
        <w:rPr>
          <w:color w:val="000000"/>
          <w:sz w:val="28"/>
          <w:szCs w:val="28"/>
        </w:rPr>
        <w:t xml:space="preserve">латы водителя не включает компенсационные выплаты работникам, занятым на работах с вредными и (или) опасными условиями труда, оплату труда в местностях с особыми климатическими условиями, а также другие выплаты, в том числе за условия труда, отклоняющиеся </w:t>
      </w:r>
      <w:r>
        <w:rPr>
          <w:color w:val="000000"/>
          <w:sz w:val="28"/>
          <w:szCs w:val="28"/>
        </w:rPr>
        <w:t xml:space="preserve">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нормальных);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индексация (увеличение) размера базовой (минимальной) тарифной ставки рабочих 1-го разряда, осуществляемая одновременно с изменением минимального размера оплаты труда, принятого в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штатная численность водителей автомобильного транспорта, установленная с соблюдени</w:t>
      </w:r>
      <w:r>
        <w:rPr>
          <w:sz w:val="28"/>
          <w:szCs w:val="28"/>
        </w:rPr>
        <w:t xml:space="preserve">ем Особенностей режима рабочего времени и времени отдыха, условий труда водителей автомобилей, утвержденных п</w:t>
      </w:r>
      <w:r>
        <w:rPr>
          <w:color w:val="000000"/>
          <w:sz w:val="28"/>
          <w:szCs w:val="28"/>
        </w:rPr>
        <w:t xml:space="preserve">риказом Министерства транспорта Российской Федерации от 16 октября 2020 г. № 424;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2.10.4. копи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выписки из единого государственного реестра юридических лиц в отношении первичной профсоюзной организации, созданной для сотрудников Участника отбора;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2.10.5. копии паспортов транспортных средств и (или) электронных паспортов транспортных средств на автобусы, приобретенные по Договору лизинга.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2.11. Внесение изменений в Заявку или отзыв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 осуществляется Участником отбора в порядке, аналогичном порядку формирования Заявки Участником отбора, указанному в </w:t>
      </w:r>
      <w:r>
        <w:rPr>
          <w:sz w:val="28"/>
          <w:szCs w:val="28"/>
        </w:rPr>
        <w:t xml:space="preserve">пункте 2.5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Возврат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Участникам отбора на доработку со стороны Департамента не предусмотрен.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2.12. Внесение необходимых изменений в Заявку осуществляется до окончания срока приема Заявок, указанного в Объя</w:t>
      </w:r>
      <w:r>
        <w:rPr>
          <w:color w:val="000000"/>
          <w:sz w:val="28"/>
          <w:szCs w:val="28"/>
        </w:rPr>
        <w:t xml:space="preserve">влении. После формирования уведомления в системе «Электронный бюджет» и подписания усиленной квалифицированной электронной подписью руководителя Участника отбора или уполномоченного им лица (на основании доверенности) Заявка будет считаться вновь поданной.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2.13. Разъяснения Участникам отбора положений Объявления осуществляется по телефонам, указанным в Объявлении, а также в порядке официальной переписки между Департаментом и Участниками отбора в период подачи Заявок, определенный Объявлением.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Участник отбора со дня размещения Объявления на едином портале не позднее 3 рабочего дня до дня завершения подачи заявок вправе направить в Департамент не более 5 запросов о разъяснении п</w:t>
      </w:r>
      <w:r>
        <w:rPr>
          <w:sz w:val="28"/>
          <w:szCs w:val="28"/>
        </w:rPr>
        <w:t xml:space="preserve">оложений Объявления путем формирования в системе «Электронный бюджет» соответствующего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Департамент в ответ на запрос, указанный в абзаце втором насто</w:t>
      </w:r>
      <w:r>
        <w:rPr>
          <w:color w:val="000000"/>
          <w:sz w:val="28"/>
          <w:szCs w:val="28"/>
        </w:rPr>
        <w:t xml:space="preserve">ящего пункта, направляет разъяснение положений Объявления Участнику отбора в срок, установленный указанным Объявлением, но не позднее одного раб</w:t>
      </w:r>
      <w:r>
        <w:rPr>
          <w:color w:val="000000"/>
          <w:sz w:val="28"/>
          <w:szCs w:val="28"/>
        </w:rPr>
        <w:t xml:space="preserve">очего дня до дня завершения подачи Заявок путем формирования в системе «Электронный бюджет» соответствующего разъяснения. Представленное Департаментом разъяснение положений Объявления не должно изменять суть информации, содержащейся в указанном Объявлении.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2.14. Департамент не позднее 1 рабочего дня, следующего за днем окончания срока подачи Заявок, установленного в Объявлении в системе «Электронный </w:t>
      </w:r>
      <w:r>
        <w:rPr>
          <w:color w:val="000000"/>
          <w:sz w:val="28"/>
          <w:szCs w:val="28"/>
        </w:rPr>
        <w:t xml:space="preserve">бюджет», приступает к рассмотрению и оценке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аявок, поданных Участниками отбора.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Рассмотрение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осуществляется в течение 3 рабочих дней со дня, следующего за днем окончания срока подачи Заявок, установленного в Объявлении в системе «Электронный бюджет».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2.15. На едином портале автоматически формируется протокол вскрытия заявок, в котором содержится следующая информация: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2.15.1. регистрационный номер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2.15.2. дата и время поступления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2.15.3. полное наименование Участника отбора (для юридических лиц) или фамилия, имя, отчество (при наличии) (для индивидуальных предпринимателей);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2.15.4. адрес юридического лица, адрес регистрации (для индивидуальных предпринимателей);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2.15.5. запрашиваемый Участником отбора размер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2.16. Протокол вскрытия заявок в течение 1 рабочего дня со дня его</w:t>
      </w:r>
      <w:r>
        <w:rPr>
          <w:color w:val="000000"/>
          <w:sz w:val="28"/>
          <w:szCs w:val="28"/>
        </w:rPr>
        <w:t xml:space="preserve"> формирования подписывается усиленной квалифицированной электронной подписью начальника Департамента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2.17. Заявка признается надлежащей, если она соответствует требованиям и критериям, указанным в Объявлении, и при отсутствии оснований для отклонения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Решение о соответствии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 требованиям и критериям, указанным в Объявлении, принимается Департаментом на дату </w:t>
      </w:r>
      <w:r>
        <w:rPr>
          <w:color w:val="000000"/>
          <w:sz w:val="28"/>
          <w:szCs w:val="28"/>
        </w:rPr>
        <w:t xml:space="preserve">получения результатов проверки,</w:t>
      </w:r>
      <w:r>
        <w:rPr>
          <w:color w:val="000000"/>
          <w:sz w:val="28"/>
          <w:szCs w:val="28"/>
        </w:rPr>
        <w:t xml:space="preserve"> представленных Участником отбора, информации и документов, поданных в составе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Департамент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</w:t>
      </w:r>
      <w:r>
        <w:rPr>
          <w:color w:val="000000"/>
          <w:sz w:val="28"/>
          <w:szCs w:val="28"/>
        </w:rPr>
        <w:t xml:space="preserve">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2.18. Проверка Участника отбора на соответствие требованиям, указанным </w:t>
      </w:r>
      <w:r>
        <w:rPr>
          <w:color w:val="000000"/>
          <w:sz w:val="28"/>
          <w:szCs w:val="28"/>
        </w:rPr>
        <w:br/>
        <w:t xml:space="preserve">в пунктах 2.4, 2.4.1-2.4.9 настоящего Порядка, осуществляется автоматически </w:t>
      </w:r>
      <w:r>
        <w:rPr>
          <w:color w:val="000000"/>
          <w:sz w:val="28"/>
          <w:szCs w:val="28"/>
        </w:rPr>
        <w:br/>
        <w:t xml:space="preserve">в системе «Электронный бюджет» на основании данных государственных информационны</w:t>
      </w:r>
      <w:r>
        <w:rPr>
          <w:color w:val="000000"/>
          <w:sz w:val="28"/>
          <w:szCs w:val="28"/>
        </w:rPr>
        <w:t xml:space="preserve">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соответствия Участника отбора требованиям, установленным</w:t>
      </w:r>
      <w:r>
        <w:rPr>
          <w:sz w:val="28"/>
          <w:szCs w:val="28"/>
        </w:rPr>
        <w:t xml:space="preserve"> пунктами </w:t>
      </w:r>
      <w:r>
        <w:t xml:space="preserve"> </w:t>
      </w:r>
      <w:r>
        <w:rPr>
          <w:color w:val="000000"/>
          <w:sz w:val="28"/>
          <w:szCs w:val="28"/>
        </w:rPr>
        <w:t xml:space="preserve">2.4, 2.4.1-2.4.9 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ас</w:t>
      </w:r>
      <w:r>
        <w:rPr>
          <w:color w:val="000000"/>
          <w:sz w:val="28"/>
          <w:szCs w:val="28"/>
        </w:rPr>
        <w:t xml:space="preserve">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</w:t>
      </w:r>
      <w:r>
        <w:rPr>
          <w:color w:val="000000"/>
          <w:sz w:val="28"/>
          <w:szCs w:val="28"/>
        </w:rPr>
        <w:t xml:space="preserve">заполнения соответствующих экранных форм веб-интерфейса системы «Электронный бюджет».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2.19. </w:t>
      </w:r>
      <w:r>
        <w:rPr>
          <w:color w:val="000000"/>
          <w:sz w:val="28"/>
          <w:szCs w:val="28"/>
        </w:rPr>
        <w:t xml:space="preserve">На стадии рассмотрения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основаниями для отклонения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и отказа в предоставлении Субсидии являются: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несоответствие Участника отбора требованиям, установленным пунктами 2.4.1-2.4.9 </w:t>
      </w:r>
      <w:r>
        <w:rPr>
          <w:color w:val="000000"/>
          <w:sz w:val="28"/>
          <w:szCs w:val="28"/>
        </w:rPr>
        <w:t xml:space="preserve">настоящего Порядка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</w:t>
      </w:r>
      <w:r>
        <w:rPr>
          <w:sz w:val="28"/>
          <w:szCs w:val="28"/>
        </w:rPr>
        <w:t xml:space="preserve">в пунктах 2.9.1-2.9.4, 2.10.1-2.10.5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несоответстви</w:t>
      </w:r>
      <w:r>
        <w:rPr>
          <w:color w:val="000000"/>
          <w:sz w:val="28"/>
          <w:szCs w:val="28"/>
        </w:rPr>
        <w:t xml:space="preserve">е поданной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 и (или) документов требованиям, установленным в Объявлении;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подача Участником отбора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 после даты и (или) времени, определенных для подачи заявок в Объявлении;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установление факта недостоверности,</w:t>
      </w:r>
      <w:r>
        <w:rPr>
          <w:color w:val="000000"/>
          <w:sz w:val="28"/>
          <w:szCs w:val="28"/>
        </w:rPr>
        <w:t xml:space="preserve"> представленной Участником отбора информации, а также недостоверности информации, содержащейся в документах, представленных Участником отбора для подтверждения соответствия требованиям настоящего Порядка;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превышение размера запрашиваемой Субсидии над размером, указанным </w:t>
      </w:r>
      <w:r>
        <w:rPr>
          <w:color w:val="000000"/>
          <w:sz w:val="28"/>
          <w:szCs w:val="28"/>
        </w:rPr>
        <w:br/>
        <w:t xml:space="preserve">в Объявлении;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недостаточность бюджетных ассигнований и лимитов бюджетных обязательств, утвержденных в установленном порядке Департаменту на цели, указанны</w:t>
      </w:r>
      <w:r>
        <w:rPr>
          <w:sz w:val="28"/>
          <w:szCs w:val="28"/>
        </w:rPr>
        <w:t xml:space="preserve">е в пункте 1.2 настоящего Порядк</w:t>
      </w:r>
      <w:r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2.20. Отбор признается несостоявшимся в следующих случаях: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 окончании срока подачи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не подано ни одной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 результатам рассмотрения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отклонены все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2.21. </w:t>
      </w:r>
      <w:r>
        <w:rPr>
          <w:color w:val="000000"/>
          <w:sz w:val="28"/>
          <w:szCs w:val="28"/>
        </w:rPr>
        <w:t xml:space="preserve">Заявки, соответствующие требованиям и для которых отсутствуют основания для отклонения в соответствии</w:t>
      </w:r>
      <w:r>
        <w:rPr>
          <w:sz w:val="28"/>
          <w:szCs w:val="28"/>
        </w:rPr>
        <w:t xml:space="preserve"> с пунктом 2.19 настоящего Порядка, подлежат процедуре ранжирования.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Ранжирование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осуществляется исходя из очередности поступления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согласно дате и времени их представления в системе «Электронный бюджет».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Заявки, не соответствующие требованиям и для которых установлены основания для отклонения в соответствии</w:t>
      </w:r>
      <w:r>
        <w:rPr>
          <w:sz w:val="28"/>
          <w:szCs w:val="28"/>
        </w:rPr>
        <w:t xml:space="preserve"> с пунктом 2.19 на</w:t>
      </w:r>
      <w:r>
        <w:rPr>
          <w:color w:val="000000"/>
          <w:sz w:val="28"/>
          <w:szCs w:val="28"/>
        </w:rPr>
        <w:t xml:space="preserve">стоящего Порядка, подлежат отклонению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2.22. </w:t>
      </w:r>
      <w:r>
        <w:rPr>
          <w:color w:val="000000"/>
          <w:sz w:val="28"/>
          <w:szCs w:val="28"/>
        </w:rPr>
        <w:t xml:space="preserve">В течение 1 рабочего дня после дня окончания рассмотрения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 Департаментом осуществляется распределение средств Субсидии в системе «Электронный бюджет».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Участнику отбора, которому присвоен первый порядковый номер в рейтинге, распределяется размер Субсидии, равный размеру, указанному им в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аявке, но не выше размера, указанного в заявке, который не может превышать предельный размер Субсидии, определенного Объявлением.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Каждому следующему Участнику</w:t>
      </w:r>
      <w:r>
        <w:rPr>
          <w:color w:val="000000"/>
          <w:sz w:val="28"/>
          <w:szCs w:val="28"/>
        </w:rPr>
        <w:t xml:space="preserve"> отбора,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Объявлением, до момента полного распределения Субсидии, предусмотренной в бюджете города Перми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текущий финансовый год и плановый период, на цели, указанные в пункте 1.2 настоящего Порядка.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Первоочередное право на получение Субсидий имеет Участник отбора с наименьшим порядковым номером в рейтинге.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2.23.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 котором содержится следующая информация: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дата, время и место рассмотрения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аявок;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информация об Участниках отбора,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 которых были рассмотрены;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информация об Участниках отбора,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 которых были отклонены, с указанием причин их отклонения, в том числе положений Объявления, которым не соответствуют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аявки;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наименование Получателя (получателей) субсидии, с которым(-</w:t>
      </w:r>
      <w:r>
        <w:rPr>
          <w:color w:val="000000"/>
          <w:sz w:val="28"/>
          <w:szCs w:val="28"/>
        </w:rPr>
        <w:t xml:space="preserve">ыми</w:t>
      </w:r>
      <w:r>
        <w:rPr>
          <w:color w:val="000000"/>
          <w:sz w:val="28"/>
          <w:szCs w:val="28"/>
        </w:rPr>
        <w:t xml:space="preserve">) заключается Договор, и размер предоставляемой ему (им)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2.24.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</w:t>
      </w:r>
      <w:r>
        <w:rPr>
          <w:color w:val="000000"/>
          <w:sz w:val="28"/>
          <w:szCs w:val="28"/>
        </w:rPr>
        <w:t xml:space="preserve">нной электронной подписью начальника Департамента (уполномоченного им лица) в системе «Электронный бюджет», а также размещается на едином портале, на официальном сайте Департамента в сети Интернет не позднее рабочего дня, следующего за днем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Внесение изменени</w:t>
      </w:r>
      <w:r>
        <w:rPr>
          <w:color w:val="000000"/>
          <w:sz w:val="28"/>
          <w:szCs w:val="28"/>
        </w:rPr>
        <w:t xml:space="preserve">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2.26. Департамент вправе отменить проведение Отбора не позднее чем </w:t>
      </w:r>
      <w:r>
        <w:rPr>
          <w:color w:val="000000"/>
          <w:sz w:val="28"/>
          <w:szCs w:val="28"/>
        </w:rPr>
        <w:br/>
        <w:t xml:space="preserve">за один рабочий день до даты окончания срока подачи Заявок Участниками отбора.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Объявление об отмене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тбора формируется в электронной форме посредством заполнения соответств</w:t>
      </w:r>
      <w:r>
        <w:rPr>
          <w:color w:val="000000"/>
          <w:sz w:val="28"/>
          <w:szCs w:val="28"/>
        </w:rPr>
        <w:t xml:space="preserve">ующих экранных форм веб-интерфейса системы «Электронный бюджет», подписывается усиленной квалифицированной электронной подписью начальника Департамента (уполномоченного им лица), размещается на едином портале и содержит информацию о причинах отмены Отбора.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Основаниями для отмены Отбора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недостаточность бюджетных ассигнований и лимитов бюджетных обязательств;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изменения условий, требующие внесения изменений в Объявление.».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6. В пункте 3.1: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6.1. цифры «2.3, 2.3.1-2.3.7» заменить цифрами «2.5, 2.5.1-2.5.7»;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6.2. цифры «2.4, 2.4.1-2.4.6» заменить цифрами «2.4, 2.4.1-2.4.9».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7. В пункте 3.3 слова «5 рабочих дней, следующих за датой оформления протокола Комиссии,» заменить словами «3 рабочих дней со дня подписания протокола подведения итогов отбора Получателей субсидии»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8. Пункт 3.6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Договор на пред</w:t>
      </w:r>
      <w:r>
        <w:rPr>
          <w:color w:val="000000"/>
          <w:sz w:val="28"/>
          <w:szCs w:val="28"/>
        </w:rPr>
        <w:t xml:space="preserve">оставление субсидий вносятся изменения путем заключения дополнительного соглашения к Договору на предоставление субсидий в части перемены лица в обязательстве с указанием в Договоре на предоставление субсидий юридического лица, являющегося правопреемником.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При реорганизации Получателя субсидий, являющегося юридическим лицом, в форме разделения, выделения, а также при ликвидации Получателя с</w:t>
      </w:r>
      <w:r>
        <w:rPr>
          <w:color w:val="000000"/>
          <w:sz w:val="28"/>
          <w:szCs w:val="28"/>
        </w:rPr>
        <w:t xml:space="preserve">убсидии, являющегося юридическим лицом, или прекращении деятельности Получателя субсидий, являющегося индивидуальным предпринимателем договор расторгается с формированием уведомления о расторжении договора в одностороннем порядке и акта об исполнении обяза</w:t>
      </w:r>
      <w:r>
        <w:rPr>
          <w:color w:val="000000"/>
          <w:sz w:val="28"/>
          <w:szCs w:val="28"/>
        </w:rPr>
        <w:t xml:space="preserve">тельств по Договору на предоставление субсидий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9. Пункт 3.15 признать утратившим силу.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В пункте 4.2 слова «</w:t>
      </w:r>
      <w:r>
        <w:rPr>
          <w:sz w:val="28"/>
          <w:szCs w:val="28"/>
        </w:rPr>
        <w:t xml:space="preserve">и в сроки, установленные Департаментом в Договоре на предоставление субсидии» заменить словами «ежеквартально не позднее </w:t>
      </w:r>
      <w:r>
        <w:rPr>
          <w:sz w:val="28"/>
          <w:szCs w:val="28"/>
        </w:rPr>
        <w:br/>
        <w:t xml:space="preserve">5 числа месяца, следующего за отчетным».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11. Дополнить пунктом 4.3 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«4.3. Департамент рассматривает Отчет о достижении результатов, осуществляет его проверку и согласование в течение 5 рабочих дней с даты получения</w:t>
      </w:r>
      <w:r>
        <w:rPr>
          <w:color w:val="000000"/>
          <w:sz w:val="28"/>
          <w:szCs w:val="28"/>
        </w:rPr>
        <w:t xml:space="preserve">. При наличии замечаний направляет Отчет </w:t>
      </w:r>
      <w:r>
        <w:rPr>
          <w:sz w:val="28"/>
          <w:szCs w:val="28"/>
        </w:rPr>
        <w:t xml:space="preserve">о достижении результатов</w:t>
      </w:r>
      <w:r>
        <w:rPr>
          <w:color w:val="000000"/>
          <w:sz w:val="28"/>
          <w:szCs w:val="28"/>
        </w:rPr>
        <w:t xml:space="preserve"> на доработку Получателю субсидий. Доработанные Отчеты </w:t>
      </w:r>
      <w:r>
        <w:rPr>
          <w:sz w:val="28"/>
          <w:szCs w:val="28"/>
        </w:rPr>
        <w:t xml:space="preserve">о достижении результатов</w:t>
      </w:r>
      <w:r>
        <w:rPr>
          <w:color w:val="000000"/>
          <w:sz w:val="28"/>
          <w:szCs w:val="28"/>
        </w:rPr>
        <w:t xml:space="preserve"> Получатель субсидий направляет в Департамент в течение 3 рабочих дней.».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12. Пункт 5.3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«5.3. Органы муниципального финансового контроля осуществляют проверки в соответствии со статьями 268.1 и 269.2 Бюджетного кодекса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осуществляет мониторинг достижения значений результатов предос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в порядке и по формам, которые установлены порядком проведения мониторинга достижения результатов.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осуществляет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выявлении нарушений условий предоставления Субсидий Департамент направляет требование о возврате Субсидий, которое должно быть исполнено Получателями субсидий в течение 10 рабочих дней со дня получения требования.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случае невыполнения Получателями субсидий в установленный срок требования о возврате Субсидий Департамент осуществляет взыскание в судебном порядке.».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13. Приложение 1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14. Приложение 2 </w:t>
      </w:r>
      <w:r>
        <w:rPr>
          <w:sz w:val="28"/>
          <w:szCs w:val="28"/>
        </w:rPr>
        <w:t xml:space="preserve">признать утратившим силу.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</w:style>
  <w:style w:type="paragraph" w:styleId="715">
    <w:name w:val="Heading 1"/>
    <w:basedOn w:val="714"/>
    <w:next w:val="714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uiPriority w:val="10"/>
    <w:rPr>
      <w:sz w:val="48"/>
      <w:szCs w:val="48"/>
    </w:rPr>
  </w:style>
  <w:style w:type="character" w:styleId="737" w:customStyle="1">
    <w:name w:val="Subtitle Char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14"/>
    <w:next w:val="714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4"/>
    <w:next w:val="714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4"/>
    <w:next w:val="71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4"/>
    <w:next w:val="71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4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14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2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14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4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4"/>
    <w:next w:val="714"/>
    <w:uiPriority w:val="39"/>
    <w:unhideWhenUsed/>
    <w:pPr>
      <w:spacing w:after="57"/>
    </w:pPr>
  </w:style>
  <w:style w:type="paragraph" w:styleId="901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02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03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04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05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6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7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8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4"/>
    <w:next w:val="714"/>
    <w:uiPriority w:val="99"/>
    <w:unhideWhenUsed/>
  </w:style>
  <w:style w:type="paragraph" w:styleId="911">
    <w:name w:val="Body Text"/>
    <w:basedOn w:val="714"/>
    <w:link w:val="935"/>
    <w:pPr>
      <w:ind w:right="3117"/>
    </w:pPr>
    <w:rPr>
      <w:rFonts w:ascii="Courier New" w:hAnsi="Courier New"/>
      <w:sz w:val="26"/>
    </w:rPr>
  </w:style>
  <w:style w:type="paragraph" w:styleId="912">
    <w:name w:val="Body Text Indent"/>
    <w:basedOn w:val="714"/>
    <w:pPr>
      <w:ind w:right="-1"/>
      <w:jc w:val="both"/>
    </w:pPr>
    <w:rPr>
      <w:sz w:val="26"/>
    </w:rPr>
  </w:style>
  <w:style w:type="character" w:styleId="913">
    <w:name w:val="page number"/>
    <w:basedOn w:val="724"/>
  </w:style>
  <w:style w:type="paragraph" w:styleId="914">
    <w:name w:val="Balloon Text"/>
    <w:basedOn w:val="714"/>
    <w:link w:val="915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26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26"/>
    <w:uiPriority w:val="99"/>
    <w:semiHidden/>
    <w:unhideWhenUsed/>
  </w:style>
  <w:style w:type="numbering" w:styleId="938" w:customStyle="1">
    <w:name w:val="Нет списка111"/>
    <w:next w:val="726"/>
    <w:uiPriority w:val="99"/>
    <w:semiHidden/>
    <w:unhideWhenUsed/>
  </w:style>
  <w:style w:type="paragraph" w:styleId="939" w:customStyle="1">
    <w:name w:val="font5"/>
    <w:basedOn w:val="7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6"/>
    <w:uiPriority w:val="99"/>
    <w:semiHidden/>
    <w:unhideWhenUsed/>
  </w:style>
  <w:style w:type="numbering" w:styleId="987" w:customStyle="1">
    <w:name w:val="Нет списка3"/>
    <w:next w:val="726"/>
    <w:uiPriority w:val="99"/>
    <w:semiHidden/>
    <w:unhideWhenUsed/>
  </w:style>
  <w:style w:type="paragraph" w:styleId="988" w:customStyle="1">
    <w:name w:val="font6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6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character" w:styleId="993">
    <w:name w:val="annotation reference"/>
    <w:rPr>
      <w:sz w:val="16"/>
      <w:szCs w:val="16"/>
    </w:rPr>
  </w:style>
  <w:style w:type="paragraph" w:styleId="994">
    <w:name w:val="annotation text"/>
    <w:basedOn w:val="714"/>
    <w:link w:val="995"/>
  </w:style>
  <w:style w:type="character" w:styleId="995" w:customStyle="1">
    <w:name w:val="Текст примечания Знак"/>
    <w:basedOn w:val="724"/>
    <w:link w:val="994"/>
  </w:style>
  <w:style w:type="paragraph" w:styleId="996">
    <w:name w:val="annotation subject"/>
    <w:basedOn w:val="994"/>
    <w:next w:val="994"/>
    <w:link w:val="997"/>
    <w:rPr>
      <w:b/>
      <w:bCs/>
    </w:rPr>
  </w:style>
  <w:style w:type="character" w:styleId="997" w:customStyle="1">
    <w:name w:val="Тема примечания Знак"/>
    <w:link w:val="996"/>
    <w:rPr>
      <w:b/>
      <w:bCs/>
    </w:rPr>
  </w:style>
  <w:style w:type="paragraph" w:styleId="998">
    <w:name w:val="Normal (Web)"/>
    <w:basedOn w:val="71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9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00">
    <w:name w:val="HTML Preformatted"/>
    <w:basedOn w:val="714"/>
    <w:link w:val="100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01" w:customStyle="1">
    <w:name w:val="Стандартный HTML Знак"/>
    <w:link w:val="1000"/>
    <w:uiPriority w:val="99"/>
    <w:rPr>
      <w:rFonts w:ascii="Courier New" w:hAnsi="Courier New" w:cs="Courier New"/>
    </w:rPr>
  </w:style>
  <w:style w:type="character" w:styleId="1002">
    <w:name w:val="Unresolved Mention"/>
    <w:basedOn w:val="72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35</cp:revision>
  <dcterms:created xsi:type="dcterms:W3CDTF">2024-12-25T13:11:00Z</dcterms:created>
  <dcterms:modified xsi:type="dcterms:W3CDTF">2025-01-29T09:31:45Z</dcterms:modified>
  <cp:version>1048576</cp:version>
</cp:coreProperties>
</file>