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14120"/>
                <wp:effectExtent l="0" t="0" r="0" b="0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1412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9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9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spacing w:line="240" w:lineRule="exact"/>
      </w:pPr>
      <w:r/>
      <w:r/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Об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утверждении Порядка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определения объема и условий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предоставления муниципальному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бюджетному учреждению «Архив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 Перми», подведомственному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 горо</w:t>
      </w:r>
      <w:r>
        <w:rPr>
          <w:b/>
          <w:sz w:val="28"/>
          <w:szCs w:val="28"/>
          <w:highlight w:val="white"/>
        </w:rPr>
        <w:t xml:space="preserve">да Перми,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субсидии на иные цели </w:t>
      </w:r>
      <w:r>
        <w:rPr>
          <w:b/>
          <w:sz w:val="28"/>
          <w:szCs w:val="28"/>
          <w:highlight w:val="white"/>
        </w:rPr>
        <w:t xml:space="preserve">на перевод </w:t>
        <w:br/>
        <w:t xml:space="preserve">документов </w:t>
      </w:r>
      <w:r>
        <w:rPr>
          <w:b/>
          <w:sz w:val="28"/>
          <w:szCs w:val="28"/>
          <w:highlight w:val="white"/>
        </w:rPr>
        <w:t xml:space="preserve">территориальных </w:t>
        <w:br/>
        <w:t xml:space="preserve">и функциональных органов </w:t>
        <w:br/>
        <w:t xml:space="preserve">администрации города Перми</w:t>
      </w:r>
      <w:r>
        <w:rPr>
          <w:b/>
          <w:sz w:val="28"/>
          <w:szCs w:val="28"/>
          <w:highlight w:val="white"/>
        </w:rPr>
        <w:br/>
        <w:t xml:space="preserve">со сроком хранения </w:t>
        <w:br/>
        <w:t xml:space="preserve">«до ликвидации организаций»</w:t>
      </w:r>
      <w:r>
        <w:rPr>
          <w:b/>
          <w:sz w:val="28"/>
          <w:szCs w:val="28"/>
          <w:highlight w:val="white"/>
        </w:rPr>
        <w:t xml:space="preserve"> </w:t>
        <w:br/>
        <w:t xml:space="preserve">в электронный вид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2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2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2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2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highlight w:val="white"/>
        </w:rPr>
        <w:br w:type="textWrapping" w:clear="all"/>
      </w:r>
      <w:r>
        <w:rPr>
          <w:sz w:val="28"/>
          <w:highlight w:val="white"/>
        </w:rPr>
        <w:t xml:space="preserve">от 22 февраля 2020 г. </w:t>
      </w:r>
      <w:r>
        <w:rPr>
          <w:sz w:val="28"/>
          <w:highlight w:val="white"/>
        </w:rPr>
        <w:t xml:space="preserve">№</w:t>
      </w:r>
      <w:r>
        <w:rPr>
          <w:sz w:val="28"/>
          <w:highlight w:val="white"/>
        </w:rPr>
        <w:t xml:space="preserve"> 203 </w:t>
      </w:r>
      <w:r>
        <w:rPr>
          <w:sz w:val="28"/>
          <w:highlight w:val="white"/>
        </w:rPr>
        <w:t xml:space="preserve">«</w:t>
      </w:r>
      <w:r>
        <w:rPr>
          <w:sz w:val="28"/>
          <w:highlight w:val="white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92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администрация города Перми ПОСТАНОВЛЯЕТ: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92"/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</w:t>
      </w:r>
      <w:r>
        <w:rPr>
          <w:sz w:val="28"/>
          <w:highlight w:val="white"/>
        </w:rPr>
        <w:t xml:space="preserve"> У</w:t>
      </w:r>
      <w:r>
        <w:rPr>
          <w:sz w:val="28"/>
          <w:highlight w:val="white"/>
        </w:rPr>
        <w:t xml:space="preserve">твердить прилагаемый Порядок определения объема и условий предоставления муниципальному бюджетному учреждению «Архив города Перми», подведомственному администрации города Перми, субсидии на иные цели </w:t>
      </w:r>
      <w:r>
        <w:rPr>
          <w:sz w:val="28"/>
          <w:highlight w:val="white"/>
        </w:rPr>
        <w:t xml:space="preserve">на перевод документов </w:t>
      </w:r>
      <w:r>
        <w:rPr>
          <w:sz w:val="28"/>
          <w:highlight w:val="white"/>
        </w:rPr>
        <w:t xml:space="preserve">территориальных и функциональных органов администрации города Перми со сроком хранения </w:t>
      </w:r>
      <w:r>
        <w:rPr>
          <w:b w:val="0"/>
          <w:bCs w:val="0"/>
          <w:sz w:val="28"/>
          <w:szCs w:val="28"/>
          <w:highlight w:val="white"/>
        </w:rPr>
        <w:t xml:space="preserve">«до ликвидации организаций»</w:t>
      </w:r>
      <w:r>
        <w:rPr>
          <w:sz w:val="28"/>
          <w:highlight w:val="white"/>
        </w:rPr>
        <w:t xml:space="preserve"> в электронный вид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92"/>
        <w:ind w:firstLine="720"/>
        <w:jc w:val="both"/>
      </w:pPr>
      <w:r>
        <w:rPr>
          <w:sz w:val="28"/>
          <w:highlight w:val="white"/>
        </w:rPr>
        <w:t xml:space="preserve">2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Настоящее постановление вступает в силу </w:t>
      </w:r>
      <w:r>
        <w:rPr>
          <w:sz w:val="28"/>
          <w:highlight w:val="white"/>
        </w:rPr>
        <w:t xml:space="preserve">с 01 апреля 2025 г.</w:t>
      </w:r>
      <w:r>
        <w:rPr>
          <w:sz w:val="28"/>
          <w:highlight w:val="white"/>
        </w:rPr>
        <w:t xml:space="preserve">, но </w:t>
      </w:r>
      <w:r>
        <w:rPr>
          <w:sz w:val="28"/>
        </w:rPr>
        <w:t xml:space="preserve">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</w:t>
      </w:r>
      <w:r>
        <w:rPr>
          <w:sz w:val="28"/>
        </w:rPr>
        <w:t xml:space="preserve">зования город Пермь».</w:t>
      </w:r>
      <w:r>
        <w:rPr>
          <w:sz w:val="28"/>
        </w:rPr>
      </w:r>
      <w:r/>
    </w:p>
    <w:p>
      <w:pPr>
        <w:pStyle w:val="892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</w:t>
      </w:r>
      <w:r>
        <w:rPr>
          <w:sz w:val="28"/>
        </w:rPr>
        <w:t xml:space="preserve">У</w:t>
      </w:r>
      <w:r>
        <w:rPr>
          <w:sz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</w:rPr>
        <w:t xml:space="preserve">разования город Пермь»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2"/>
        <w:ind w:firstLine="720"/>
        <w:jc w:val="both"/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</w:rPr>
        <w:t xml:space="preserve">www.gorodperm.ru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892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sz w:val="28"/>
        </w:rPr>
      </w:r>
      <w:r>
        <w:rPr>
          <w:sz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города 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b/>
          <w:bCs/>
          <w:sz w:val="28"/>
          <w:szCs w:val="28"/>
          <w:highlight w:val="none"/>
        </w:rPr>
        <w:t xml:space="preserve">ПОРЯДОК 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определения объема и условий предоставления муниципальному бюджетному учреждению «Архив города Перми», подведомственному администрации города Перми, субсидии на ины</w:t>
      </w:r>
      <w:r>
        <w:rPr>
          <w:b/>
          <w:bCs/>
          <w:sz w:val="28"/>
          <w:szCs w:val="28"/>
          <w:highlight w:val="white"/>
        </w:rPr>
        <w:t xml:space="preserve">е цели </w:t>
      </w:r>
      <w:r>
        <w:rPr>
          <w:b/>
          <w:bCs/>
          <w:sz w:val="28"/>
          <w:szCs w:val="28"/>
          <w:highlight w:val="white"/>
        </w:rPr>
        <w:t xml:space="preserve">на перевод документов</w:t>
      </w:r>
      <w:r>
        <w:rPr>
          <w:b/>
          <w:bCs/>
          <w:sz w:val="28"/>
          <w:szCs w:val="28"/>
          <w:highlight w:val="white"/>
        </w:rPr>
        <w:t xml:space="preserve"> территориальных и функциональных органов а</w:t>
      </w:r>
      <w:r>
        <w:rPr>
          <w:b/>
          <w:bCs/>
          <w:sz w:val="28"/>
          <w:szCs w:val="28"/>
          <w:highlight w:val="white"/>
        </w:rPr>
        <w:t xml:space="preserve">дминистрации города Перми </w:t>
      </w:r>
      <w:r>
        <w:rPr>
          <w:b/>
          <w:sz w:val="28"/>
          <w:szCs w:val="28"/>
          <w:highlight w:val="white"/>
        </w:rPr>
        <w:t xml:space="preserve">со сроком хранения «до ликвидации организаций»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в электронный вид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 Настоящий Порядок определяет объем и условия предоставления субсидии на иные цели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перевод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территориальных и функциональных органов администрации города Перми </w:t>
      </w:r>
      <w:r>
        <w:rPr>
          <w:b w:val="0"/>
          <w:bCs w:val="0"/>
          <w:sz w:val="28"/>
          <w:szCs w:val="28"/>
          <w:highlight w:val="white"/>
        </w:rPr>
        <w:t xml:space="preserve">со сроком хранения «до ликвидации организаций»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электронный вид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субсидия на иные цели) для муници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пального бюджетного учреждения «Архив города Перми»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Учреждение), в отношении которого администрация города Перми (далее - Администрация) осуществляет функции и полномочия учредителя (далее - Порядок).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Получателем субсидии является Учреждение.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Целью предоставления субсидии на иные цели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перевод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территориальных и функциональных органов администрации города Перми со сроком хранения </w:t>
      </w:r>
      <w:r>
        <w:rPr>
          <w:b w:val="0"/>
          <w:bCs w:val="0"/>
          <w:sz w:val="28"/>
          <w:szCs w:val="28"/>
          <w:highlight w:val="white"/>
        </w:rPr>
        <w:t xml:space="preserve">«до ликвидации организаций»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электронный вид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1.4. Предоставление субсидии на иные цели для Учреждения осуществляется за счет средств бюджета города Перми.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1.5. Субсидия на иные цели предоставляется Учреждению в пределах бюджетных ассигнований, утвержденных решением о бюджете города Перми на соответствующий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06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II. 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Для получения субсидии на иные цели на очередной финансовый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плановый период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Учреждение направляет в Администрацию в срок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апреля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текущ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 года: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пояснительную записку, содержащую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обоснование необходимости предоставления субсидии на иные цели, включая расчет-обоснование суммы субсидии на иные цели </w:t>
      </w:r>
      <w:r>
        <w:rPr>
          <w:sz w:val="28"/>
          <w:szCs w:val="28"/>
          <w:highlight w:val="white"/>
        </w:rPr>
        <w:t xml:space="preserve">согласно приложению 1 к настоящему Порядку</w:t>
      </w:r>
      <w:r>
        <w:rPr>
          <w:sz w:val="28"/>
          <w:szCs w:val="28"/>
          <w:highlight w:val="white"/>
        </w:rPr>
        <w:t xml:space="preserve">, в том числе предварительные </w:t>
      </w:r>
      <w:r>
        <w:rPr>
          <w:sz w:val="28"/>
          <w:szCs w:val="28"/>
          <w:highlight w:val="white"/>
        </w:rPr>
        <w:t xml:space="preserve">расчеты на приобретение оборудования,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материальных запасов</w:t>
      </w:r>
      <w:r>
        <w:rPr>
          <w:sz w:val="28"/>
          <w:szCs w:val="28"/>
          <w:highlight w:val="white"/>
        </w:rPr>
        <w:t xml:space="preserve">, оказание услуг,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 также </w:t>
      </w:r>
      <w:r>
        <w:rPr>
          <w:sz w:val="28"/>
          <w:szCs w:val="28"/>
          <w:highlight w:val="white"/>
        </w:rPr>
        <w:t xml:space="preserve">обоснование начальной (максимальной) цены контрактов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информацию о планируе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мом к приобретению оборудовании;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информацию о планируемых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материальных запасов;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нфо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планируемом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количестве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территориальных и функциональных органов администрации города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Перми</w:t>
      </w:r>
      <w:r>
        <w:rPr>
          <w:b w:val="0"/>
          <w:bCs w:val="0"/>
          <w:sz w:val="28"/>
          <w:szCs w:val="28"/>
          <w:highlight w:val="white"/>
        </w:rPr>
        <w:t xml:space="preserve"> со сроком хранения «до ликвидации организаций»</w:t>
      </w:r>
      <w:r>
        <w:t xml:space="preserve">, необходимых для перевода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вид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информацию по расчету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оплаты труда, начислений на выплаты по оплате труда работников учреждения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Рассмотрение и проверка документов на полноту их представления в соответствии с </w:t>
      </w:r>
      <w:hyperlink w:tooltip="#P58" w:anchor="P58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Администрацией в течение 10 рабочих дней с даты их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недостоверность информации, содержащейся в документах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Размер субсидии на иные цели определяется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как: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произведение количества оборудования, планируемого к приобретению, на стоимость оборудования, включая затраты на доставку, разгрузку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исходя из сопоставимых рыночных цен на идентичные товары, работы, услуги;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произведение количества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материальных запасов, планируемых к приобретению,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включая доставку, разгрузку,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исходя из сопоставимых рыночных цен на идентичные товары, работы,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оплаты труда, начислений на выплаты по оплате труда работников учреждения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субсидии на иные цели на очередной финансовый год и плановый период устанавливается в соответствии с </w:t>
      </w:r>
      <w:r>
        <w:rPr>
          <w:sz w:val="28"/>
          <w:szCs w:val="28"/>
          <w:highlight w:val="white"/>
        </w:rPr>
        <w:t xml:space="preserve">расчетом-обоснованием суммы субсидии на иные цели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внесения изменений в правовые акты города Перми, определяющие объем бюджетных ассигнований на иные цели, размер предоставляемой субсидии на иные цели может быть изменен.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8"/>
        <w:ind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убсидия на иные цели предоставляется в соответствии с соглашением о предоставлении из бюджета города Перми субсидии в соответствии с абзацем вторым пункта 1 статьи 78.1 Бюджетного кодекса Российской Федерации (далее - соглашение), заключенным между Админис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трацией и Учреждением по типовой форме, установленной распоряжением заместителя главы администрации города Перми - начальника департамента финансов администрации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состоянию на 01 число месяца, предшествующего месяцу, в котором планируется заключение соглашения о предоставлении субсидии на иные цели, Учреждение должно соответствовать требованиям: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отсутствию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отсутствию просроченной задолженности по возврату в бюджет города Перми субсидии,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2.7. Субсидия на иные цели перечисляется Учреждению в сроки, установленные соглашением. Периодичность предоставления субсидии на иные цели - ежемесячно.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2.8. Средства, предоставляемые Учреждению в виде субсидии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2.9. Результатом предоставления субсидии на иные цели являетс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перевод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документов территориальных и функциональных органов администрации города Перми со сроком хранения «до ликвидации организаций»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электронный вид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Для достижения результата предоставления субсидии на иные цели соглашением устанавливается план мероприятий по достижению результата предоставления субсидии на иные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2.10. Субсидии на иные цели предоставляются путем перечисления Администрацией денежных средств на отдельный лицевой счет Учреждения, открытый в департаменте финансов администрации города Перми в установленном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2.11. Учреждение ведет бухгалтерский учет с применением аналитического кода счета бухгалтерского учета по субсидии на иные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bookmarkStart w:id="3" w:name="P74"/>
      <w:r/>
      <w:bookmarkEnd w:id="3"/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pStyle w:val="100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3.1. Учреждение по форме и в сроки, установленные в соглашении, представляет в Администрацию следующие отчеты: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 xml:space="preserve">отчет о расходах, источником финансового обеспечения которых является субсидия на иные цели;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 xml:space="preserve">отчет о достижении значений результатов предоставления субсидии на иные цели;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 xml:space="preserve">отчет о реализации плана мероприятий по достижению результатов предоставления субсидии на иные цели.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3.2. Контроль за своевременностью представления Отчетов и достоверностью отчетных данных возлагается на Учреждение.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3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3.3. Администрация имеет право устанавливать в соглашении формы дополнительной отчетности и сроки ее представления Учреждением.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IV. Порядок осуществления контроля за соблюдением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 и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их несоблюдение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.1. Остатки субсидии на иные цели по состоянию на 01 января очередного финансового года, не использованные Учреждением в текущем финансовом году, подлежат перечислению в доход бюджета города Перми не позднее первых 4 рабочих дней очередного финансового год</w:t>
      </w:r>
      <w:r>
        <w:rPr>
          <w:rFonts w:eastAsiaTheme="minorHAnsi"/>
          <w:sz w:val="28"/>
          <w:szCs w:val="28"/>
          <w:lang w:eastAsia="en-US"/>
        </w:rPr>
        <w:t xml:space="preserve">а.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О</w:t>
      </w:r>
      <w:r>
        <w:rPr>
          <w:rFonts w:eastAsiaTheme="minorHAnsi"/>
          <w:sz w:val="28"/>
          <w:szCs w:val="28"/>
          <w:lang w:eastAsia="en-US"/>
        </w:rPr>
        <w:t xml:space="preserve">статки субсидии на иные цели, перечисленные Учреждением в доход бюджета города Перми, возвращаются Учреждению в очередном финансовом году при наличии потребности в направлении субсидии на иные цели на те же цели в соответствии с решением Администрации, офо</w:t>
      </w:r>
      <w:r>
        <w:rPr>
          <w:rFonts w:eastAsiaTheme="minorHAnsi"/>
          <w:sz w:val="28"/>
          <w:szCs w:val="28"/>
          <w:lang w:eastAsia="en-US"/>
        </w:rPr>
        <w:t xml:space="preserve">рмленным распоряжением Администрации.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lang w:eastAsia="en-US"/>
        </w:rPr>
        <w:t xml:space="preserve">ешение о возврате остатков субсидии на иные цели принимается Администрацией по итогам рассмотрения запроса Учреждения, представленного в Администрацию до 01 февраля текущего года и отражающего причины образования неиспользованных остатков и необходимости и</w:t>
      </w:r>
      <w:r>
        <w:rPr>
          <w:rFonts w:eastAsiaTheme="minorHAnsi"/>
          <w:sz w:val="28"/>
          <w:szCs w:val="28"/>
          <w:lang w:eastAsia="en-US"/>
        </w:rPr>
        <w:t xml:space="preserve">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Администрация принимает решение о возврате остатков субсидии на иные цели в течение 20 рабочих дней с даты поступления информации, указанной в абзаце третьем настоящего пункта.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В случае если Учреждением не обоснована потребность в направлении остатков субсидии на иные цели, они считаются неподтвержденными и не подлежат возврату Учреждению.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В случае если неиспользованные остатки субсидии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.2. В случае если Учреждением не достигнут результат предоставления субсидии на иные цели, установленный в соответствии с пунктом 2.9 настоящего Порядка, Учреждение возвращает субсидию на иные цели в объеме, соответствующем недостигнутому результату предос</w:t>
      </w:r>
      <w:r>
        <w:rPr>
          <w:rFonts w:eastAsiaTheme="minorHAnsi"/>
          <w:sz w:val="28"/>
          <w:szCs w:val="28"/>
          <w:lang w:eastAsia="en-US"/>
        </w:rPr>
        <w:t xml:space="preserve">тавления субсидии на иные цели, не позднее первых 4 рабочих дней очередного финансового года.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.3.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 Администрация и департамент финансов администрации города Перми осу</w:t>
      </w:r>
      <w:r>
        <w:rPr>
          <w:rFonts w:eastAsiaTheme="minorHAnsi"/>
          <w:sz w:val="28"/>
          <w:szCs w:val="28"/>
          <w:lang w:eastAsia="en-US"/>
        </w:rPr>
        <w:t xml:space="preserve">щ</w:t>
      </w:r>
      <w:r>
        <w:rPr>
          <w:rFonts w:eastAsiaTheme="minorHAnsi"/>
          <w:sz w:val="28"/>
          <w:szCs w:val="28"/>
          <w:lang w:eastAsia="en-US"/>
        </w:rPr>
        <w:t xml:space="preserve">ествляют мониторинг достижения результата предоставления субсидии (контрольных точек) в течение всего периода, установленного для достижения конечного значения результата предоставления субсидии на иные цели, в порядке, установленном Министерством финансов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 случае выявления нарушений Учреждением целей и условий предоставления субсидии на иные цели, выявленных по фактам проверок, проведенных Администрацией и органом муниципального финансового контроля, денежные средства подлежат возврату в бюджет города Перми</w:t>
      </w:r>
      <w:r>
        <w:rPr>
          <w:rFonts w:eastAsiaTheme="minorHAnsi"/>
          <w:sz w:val="28"/>
          <w:szCs w:val="28"/>
          <w:lang w:eastAsia="en-US"/>
        </w:rPr>
        <w:t xml:space="preserve"> в сроки, установленные указанными органами по результатам контрольного мероприятия.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.4. При установлении Администрацией, а также иными органами, осуществляющими внутренний муниципальный финансовый контроль, нецелевого использования Учреждением предоставленной субсидии на иные цели, использования субсидии на иные цели с нарушением бюджетно</w:t>
      </w:r>
      <w:r>
        <w:rPr>
          <w:rFonts w:eastAsiaTheme="minorHAnsi"/>
          <w:sz w:val="28"/>
          <w:szCs w:val="28"/>
          <w:lang w:eastAsia="en-US"/>
        </w:rPr>
        <w:t xml:space="preserve">го законодательства Российской Федерации и иных нормативных правовых актов, регулирующих бюджетные правоотношения, данные средства подлежат возврату в бюджет города Перми в сроки, установленные указанными органами по результатам контрольного мероприятия.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В случае невыполнения Учреждением требования о возврате субсидии на иные цели Администрация обеспечивает взыскание субсидии в судебном порядке в соответствии с действующим законодательством.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4.5. Учреждение несет ответственность за целевое использование средств субсидии на иные цели, соблюдение условий ее предоставления, установленных настоящим Порядком и соглашением, в соответствии с действующим законодательством.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.6. В случае поступления средств от возврата ранее произведенных Учреждением выплат, источником финансового обеспечения которых является субсидия на иные цели, для достижения целей, установленных при предоставлении субсидии на иные цели, Администрация в те</w:t>
      </w:r>
      <w:r>
        <w:rPr>
          <w:rFonts w:eastAsiaTheme="minorHAnsi"/>
          <w:sz w:val="28"/>
          <w:szCs w:val="28"/>
          <w:lang w:eastAsia="en-US"/>
        </w:rPr>
        <w:t xml:space="preserve">чение 30 рабочих дней с даты их поступления в Учреждение принимает решение путем издания распоряжения об использовании в текущем финансовом году указанных средств.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lang w:eastAsia="en-US"/>
        </w:rPr>
        <w:t xml:space="preserve">ешение Администрации об использовании в текущем финансовом году указанных средств принимается при наличии потребности Учреждения по итогам рассмотрения запроса, представленного Учреждением в Администрацию в течение 20 рабочих дней с даты поступления средст</w:t>
      </w: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 в Учреждение и отражающего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</w:t>
      </w:r>
      <w:r>
        <w:rPr>
          <w:rFonts w:eastAsiaTheme="minorHAnsi"/>
          <w:sz w:val="28"/>
          <w:szCs w:val="28"/>
          <w:lang w:eastAsia="en-US"/>
        </w:rPr>
        <w:t xml:space="preserve">тию в текущем финансовом году.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720" w:right="567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2"/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none"/>
        </w:rPr>
        <w:t xml:space="preserve">РАСЧЕТ-ОБОСНОВАНИЕ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9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  <w:t xml:space="preserve">суммы субсидии на иные цели на перевод документов территориальных и функциональных органов администрации города Перми со сроком хранения «до ликвидации организаций» в электронный вид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8"/>
        <w:tblW w:w="9574" w:type="dxa"/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2409"/>
        <w:gridCol w:w="1417"/>
        <w:gridCol w:w="1417"/>
        <w:gridCol w:w="1388"/>
      </w:tblGrid>
      <w:tr>
        <w:tblPrEx/>
        <w:trPr>
          <w:trHeight w:val="788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Получатель субсидии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gridSpan w:val="3"/>
            <w:tcW w:w="4223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 субсидии на иные цели, </w:t>
              <w:br/>
              <w:t xml:space="preserve">тыс. руб.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38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Муниципальное бюджетное учреждение «Архив города Перми»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Перевод документов территориальных и функциональных органов администрации города Перми со сроком хранения «до ликвидации организаций» в электронный вид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4 438,755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4 293,860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4 295,439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  <w:p>
    <w:pPr>
      <w:pStyle w:val="892"/>
    </w:pPr>
    <w:r/>
    <w:r/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5" w:hanging="48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9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uiPriority w:val="99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numbering" w:styleId="987">
    <w:name w:val="Нет списка5"/>
    <w:next w:val="897"/>
    <w:link w:val="892"/>
    <w:semiHidden/>
  </w:style>
  <w:style w:type="paragraph" w:styleId="988">
    <w:name w:val="Приложение"/>
    <w:basedOn w:val="899"/>
    <w:next w:val="988"/>
    <w:link w:val="89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9">
    <w:name w:val="Подпись на  бланке должностного лица"/>
    <w:basedOn w:val="892"/>
    <w:next w:val="899"/>
    <w:link w:val="892"/>
    <w:pPr>
      <w:ind w:left="7088"/>
      <w:spacing w:before="480" w:line="240" w:lineRule="exact"/>
    </w:pPr>
    <w:rPr>
      <w:sz w:val="28"/>
    </w:rPr>
  </w:style>
  <w:style w:type="paragraph" w:styleId="990">
    <w:name w:val="Подпись"/>
    <w:basedOn w:val="892"/>
    <w:next w:val="899"/>
    <w:link w:val="99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91">
    <w:name w:val="Подпись Знак"/>
    <w:next w:val="991"/>
    <w:link w:val="990"/>
    <w:rPr>
      <w:sz w:val="28"/>
    </w:rPr>
  </w:style>
  <w:style w:type="character" w:styleId="992">
    <w:name w:val="Заголовок 1 Знак"/>
    <w:next w:val="992"/>
    <w:link w:val="893"/>
    <w:rPr>
      <w:sz w:val="24"/>
    </w:rPr>
  </w:style>
  <w:style w:type="numbering" w:styleId="993">
    <w:name w:val="Нет списка12"/>
    <w:next w:val="897"/>
    <w:link w:val="892"/>
    <w:uiPriority w:val="99"/>
    <w:semiHidden/>
  </w:style>
  <w:style w:type="table" w:styleId="994">
    <w:name w:val="Сетка таблицы1"/>
    <w:basedOn w:val="896"/>
    <w:next w:val="935"/>
    <w:link w:val="892"/>
    <w:tblPr/>
  </w:style>
  <w:style w:type="character" w:styleId="995">
    <w:name w:val="Знак примечания"/>
    <w:next w:val="995"/>
    <w:link w:val="892"/>
    <w:rPr>
      <w:sz w:val="16"/>
      <w:szCs w:val="16"/>
    </w:rPr>
  </w:style>
  <w:style w:type="paragraph" w:styleId="996">
    <w:name w:val="Текст примечания"/>
    <w:basedOn w:val="892"/>
    <w:next w:val="996"/>
    <w:link w:val="997"/>
    <w:pPr>
      <w:ind w:firstLine="720"/>
      <w:jc w:val="both"/>
    </w:pPr>
  </w:style>
  <w:style w:type="character" w:styleId="997">
    <w:name w:val="Текст примечания Знак"/>
    <w:basedOn w:val="895"/>
    <w:next w:val="997"/>
    <w:link w:val="996"/>
  </w:style>
  <w:style w:type="paragraph" w:styleId="998">
    <w:name w:val="Тема примечания"/>
    <w:basedOn w:val="996"/>
    <w:next w:val="996"/>
    <w:link w:val="999"/>
    <w:rPr>
      <w:b/>
      <w:bCs/>
    </w:rPr>
  </w:style>
  <w:style w:type="character" w:styleId="999">
    <w:name w:val="Тема примечания Знак"/>
    <w:next w:val="999"/>
    <w:link w:val="998"/>
    <w:rPr>
      <w:b/>
      <w:bCs/>
    </w:rPr>
  </w:style>
  <w:style w:type="numbering" w:styleId="1000">
    <w:name w:val="Нет списка6"/>
    <w:next w:val="897"/>
    <w:link w:val="892"/>
    <w:uiPriority w:val="99"/>
    <w:semiHidden/>
    <w:unhideWhenUsed/>
  </w:style>
  <w:style w:type="table" w:styleId="1001">
    <w:name w:val="Табличка 0-19"/>
    <w:basedOn w:val="896"/>
    <w:next w:val="1001"/>
    <w:link w:val="892"/>
    <w:rPr>
      <w:color w:val="000000"/>
      <w:sz w:val="24"/>
    </w:rPr>
    <w:tblPr/>
  </w:style>
  <w:style w:type="character" w:styleId="1002">
    <w:name w:val="Неразрешенное упоминание"/>
    <w:next w:val="1002"/>
    <w:link w:val="892"/>
    <w:uiPriority w:val="99"/>
    <w:semiHidden/>
    <w:unhideWhenUsed/>
    <w:rPr>
      <w:color w:val="605e5c"/>
      <w:shd w:val="clear" w:color="auto" w:fill="e1dfdd"/>
    </w:rPr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2023-09-11T04:02:00Z</dcterms:created>
  <dcterms:modified xsi:type="dcterms:W3CDTF">2025-01-29T06:28:57Z</dcterms:modified>
  <cp:version>983040</cp:version>
</cp:coreProperties>
</file>