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tabs>
          <w:tab w:val="left" w:pos="645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30.11.2021 № 1085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  <w:br w:type="textWrapping" w:clear="all"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 органом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 ноября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085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</w:t>
      </w:r>
      <w:r>
        <w:rPr>
          <w:rFonts w:ascii="Times New Roman" w:hAnsi="Times New Roman" w:cs="Times New Roman"/>
          <w:sz w:val="28"/>
          <w:szCs w:val="28"/>
        </w:rPr>
        <w:t xml:space="preserve">, от 13.02.2024 № 94</w:t>
      </w:r>
      <w:r>
        <w:rPr>
          <w:rFonts w:ascii="Times New Roman" w:hAnsi="Times New Roman" w:cs="Times New Roman"/>
          <w:sz w:val="28"/>
          <w:szCs w:val="28"/>
        </w:rPr>
        <w:t xml:space="preserve">, 11.06.2024 № 472)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2.4.1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«2.4.1. в отношении подуслуги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10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пункт 2.4.2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«2.4.2.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подуслуги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«Предоставление разрешения на осуществление земляных работ при проведении аварийного ремонта»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3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2.4.3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«2.4.3.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подуслуги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«Продление разрешения на осуществление земляных работ»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5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первый пункта 2.4.4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«2.4.4.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подуслуги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«Закрытие разрешения на осуществление земляных работ»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5 рабочих дней со дня поступления в Территориальный орган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бзац четвертый пункта 2.4.4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представления с Заявкой электронных образов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 заверенных усиленной квалифицированной электронной подписью, Заявитель в течение 6 рабочих дней после подачи (направления) Заявки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подуслуги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1 рабочего дня после подачи (направления) Заявки (для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подуслуги «Предоставление разрешения на осуществление земляных работ при проведении аварийного ремонта»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течение 2 рабочих дней (для подуслуг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«Продление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«Закрытие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представляет в Территориальный орган оригиналы незаверенных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пункт 2.5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1.7. абзац четырнадцатый пункта 2.6.1.1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информация о высоте антенно-мачтового сооружения и расстоянии от его размещения до близлежащих многоквартирных домов, объектов озеленения общего пользования, мест отдыха, соц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иально значимых объектов (объектов образования, здравоохранения, культуры, физкультуры и спорта)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производства земляных работ в целях размещения анте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нно-мачтовых сооружений, для размещения которых не требуется разрешение на строительство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1.8. абзац девятнадцатый пункта 2.6.1.1 изложить в следующей редакции;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оригинал или копия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проекта организации дорожного движения на период введения временных ограничения или прекращения движения транспортных средств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предоставляется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производстве земляных работ в ходе которых изменяется организация дорожного движения на автомобильных дорогах общего пользования местного значения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 абзац третий пункта 2.6.1.2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оригиналы или копии документов, подтверждающих указанные в Заявке основания для продления разрешения на осуществление земляных работ (письма, справки, акты, протоколы, распоряжения, приказы, чертежи, графики)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1.10. абзац третий пункта 3.1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«получение сведений посредством межведомственного (внутриведомственного) информационного взаимодействия, рассмотрение Заявки и документов;»;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1.11. абзац четвертый пункта 3.1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1.12. абзац шестой пункта 3.1 дополнить словами «в виде бумажной копии электронного документа.»;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пункт 3.2.7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«3.2.7. максимальный срок административной процедуры «Проверка документов и регистрация Заявки» – не более 1 рабочего дня со дня поступления Заявки с пакетом документов в Территориальный орган.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 пункт 3.3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документов:»;</w:t>
      </w:r>
      <w:r>
        <w:rPr>
          <w:highlight w:val="none"/>
        </w:rPr>
      </w:r>
      <w:r>
        <w:rPr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3.3.1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3.3.1. основанием для начала административной процедуры «П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поступление Заявки с пакетом документов ответственному специалисту;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1.16. пункт 3.3.2.2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позднее дня, следующего за днем поступления от должностного лица Заявки и пакета документов, подготавливает и направляет межведомственные (внутриведомственные) запросы документов, необходимых в соответствии с нормативными правовыми актами для предоставл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подуслуг «Предоставление разрешения на осуществление земляных работ», «Предоставление разрешения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осуществление земляных работ при проведении аварийного ремонта».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81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Выполнение межведомственных (внутриведомственных) запросов осуществляется в сроки, предусмотренные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законодательством.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81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подготовки и направления межведомственных (внутриведомственных) запросов является получение запрашиваемых документов либо отказ в их представлении.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Для подуслуг «Продление разрешения на осуществление земляных работ», «Закрытие разрешения на осуществление земляных работ» межведомственные (внутриведомственные) запросы не направляются;»;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1.17.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3.3.2.3 слово «проверку» заменить на слово «рассмотрение»;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1.18. пункт 3.3.2.5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оснований для отказа в приеме Заявки и документов, необходимых для предоставления муниципальной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услуги, предусмотренных пунктом 2.9 настоящего Административного регламента, по результатам рассмотрения пакета документов, документов, поступивших по результатам межведомственных (внутриведомственных) запросов, а также оригиналов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портала, готовит один из следующих проектов документов (решений) по результатам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1.19. дополнить пунктом 3.3.2.5.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3.3.2.5.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Административного регламента: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подуслугам «Предоставление разрешения на осуществление земляных работ», «Предоставление разрешения на осуществление земляных работ при проведении аварийного ремонта», «Продление разрешения на осуществление земляных работ» в форме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Разрешения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осуществление земляных работ по форме согласно приложению 2 к настоящему Административному регламенту (в случае обращения через Единый портал решение о предоставлении разрешения на осуществление земляных работ направляется в личный кабинет Заявителя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Едином портале в виде электронного документа, подписанного усиленной квалифицированной подписью должностного лица Территориального органа, уполномоченного на принятие решений по предоставлению муниципальной услуги, одновременно с уведомлением об окончании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предоставления муниципальной услуги);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подуслуге «Закрытие разрешения на осуществление земляных работ» в форме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закрытии разрешения на осуществление земляных работ по форме согласно приложению 10 к настоящему Административному регламенту (в случае обращения через Единый портал решение о закрытии разрешения на осуществление земляных работ направляется в личный каб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инет Заявителя на Едином портале в виде электронного документа, подписанного усиленной квалифицированной подписью должностного лица Территориального органа, уполномоченного на принятие решений по предоставлению муниципальной услуги, одновременно с уведомле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нием об окончании предоставления муниципальной услуги);»;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1.20.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пунктом 3.3.2.5.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3.3.2.5.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решения об отказе в предоставлении муниципальной услуги по форме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настоящему Административному регламенту с указанием всех оснований (в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форме, реализов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анной на Едином портале, в виде электронного документа, подписанного усиленной квалифицированной подписью должностного лица Территориального органа, уполномоченного на принятие решений по предоставлению муниципальной услуги).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Ответственный специалист несет персональную ответственность за правильность оформления проектов документов (решений) по результатам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пунктом 3.3.2.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«3.3.2.6.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пакет документов и проекты документов (решений) по результатам предоставления муниципальной услуги передает для принятия решения о предоставлении муниципальной услуги должностному лицу Территориального органа, уполномоченном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на подписание Разрешения на осуществление земляных работ;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1.22. 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3.3.3.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результатом административной процедуры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документов»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получение документов по результатам межведомственных (внутриведомственных) запросов, рассмотрение оригиналов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2.6.1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портала, либо передача пакета документов специалисту, ответственному за прием, для оформления проекта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об отказе в приеме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подготовка проектов документов (решений) по результатам предоставления муниципальной услуги и передача их с пакетом документов должностному лицу Территориального органа, уполномоченному на подписание Разрешения на осуществление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емляных работ, для принятия решения о предоставлении муниципальной услуги;»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1.23.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«3.3.4. </w:t>
      </w:r>
      <w:r>
        <w:rPr>
          <w:sz w:val="28"/>
          <w:szCs w:val="28"/>
          <w:highlight w:val="none"/>
        </w:rPr>
        <w:t xml:space="preserve">максимальный срок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административной процедуры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сведений посредством межведомственного (в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нутриведомственного) информационного взаимодействия, рассмотрение Заявки и документов»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подуслуги «Предоставление разрешения на осуществление земляных работ»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не более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7 рабочих дней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 дня поступления Заявки с пакетом документов ответственному специалисту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подуслуги «Предоставление разрешения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осуществление земляных работ при проведении аварийного ремонта»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 более 1 рабочего дня со дня поступления Заявки с пакетом документов ответственному специалисту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для подуслуг «Продление разрешения на осуществление земляных работ», «Закрытие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не более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 рабочих дней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 дня поступления Заявки с пакетом документов ответственному специалисту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1.24.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3.4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3.4.1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3.4.2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1.27. пункт 3.4.2.1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1.28. пункт 3.4.2.2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1.29. пункт 3.4.3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1.30. пункт 3.4.4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1.31. пункт 3.4.5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1.32. в абзаце шестом пункта 3.5.2 слова слова «специалисту Территориального органа ответственному за регистрацию и выдачу документов» заменить словами «ответственному специалисту»;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дополнить пунктом 3.5.2.</w:t>
      </w: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следующего содержания: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«3.5.2.</w:t>
      </w: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ответственный специалист: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иленной квалифицированной электронной подписью должностного лица Территориального органа, уполномоченного на подписание Разрешения на осуществление земляных работ, и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Российской Федерации № 277, направляет в личный кабинет Заявителя на Едином портале статус оказания муниципальной услуги: 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«Услуга предоставлена» в случае принятия решения о предоставлении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 предоставлении услуги отказано» в случае принятия решения об отказе в предоставлении муниципальной услуги с указанием всех выявленных причин отказа, предусмотренных пунктом 2.11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обеспечивает заверение должностным лицом, Территориального органа, уполномоченным на подписание Раз</w:t>
      </w:r>
      <w:r>
        <w:rPr>
          <w:sz w:val="28"/>
          <w:szCs w:val="28"/>
          <w:highlight w:val="none"/>
        </w:rPr>
        <w:t xml:space="preserve">решения на осуществление земляных работ, бумажной копии электронного документа результата предоставления муниципальной услуги (при выборе Заявителем способа получения результата предоставления муниципальной услуги посредством почтовой связи или через МФЦ);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передает бумажную копию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«3.5.3.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административной процедуры «Принятие решения о предоставлении муниципальной услуги» является подписание документов (решений) по результатам предо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ставления муниципальной услуги, направление сведений о результатах предоставления муниципальной услуги в государственную информационную систему и статуса оказания муниципальной услуги в личный кабинет заявителя на Едином портале, </w:t>
      </w:r>
      <w:r>
        <w:rPr>
          <w:sz w:val="28"/>
          <w:szCs w:val="28"/>
          <w:highlight w:val="none"/>
        </w:rPr>
        <w:t xml:space="preserve">передача бумажной копии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3.5.4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«3.5.4.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максимальный срок административной процедуры «Принятие решения о предоставлении муниципальной услуги»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 не более 1 рабочего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 дня поступления должностному лицу Территориального органа, уполномоченному на подписание Разрешения на осуществление земляных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работ, пакета документов и проектов документов (решений) по результатам предоставления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3.6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«3.6. Направление (выдача) результата предоставления муниципальной услуги в виде бумажной копии электронного документа:»;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1.37. пункт 3.6.1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«3.6.1. основанием для начала административной процедуры «Направление (выдача)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поступление бумажной копии электронного документа результата предоставления муниципальной услуги спец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иалисту Территориального органа, ответственному за регистрацию и выдачу документов;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1.38. пункт 3.6.2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«3.6.2. спец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иалист Территориального органа, ответственный за регистрацию и выдачу документов,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направляет (выдает) результат предоставления муниципальной услуги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под подпись Заявителю или направляет результат предоставления муниципальной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способом, определенным Заявителем в Заявке.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1.39. абзац первый пункта 3.6.3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«3.6.3.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административной процедуры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«Направление (выдача)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направление (выдача) Заявителю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1.40. пункт 3.6.4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«3.6.4.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максимальный срок административной процедуры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«Направление (выдача) 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документа»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sz w:val="28"/>
          <w:szCs w:val="28"/>
        </w:rPr>
        <w:t xml:space="preserve"> не более 1 рабочего дня со дня поступления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виде бумажной копии электронного документа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спец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иалисту Территориального органа, ответственному за регистрацию и выдачу документов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1.41. раздел IV признать утратившим силу;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1.42. раздел V признать утратившим силу;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1.43. Приложение 1 изложить в редакции согласно приложению 1 к настоящему постановлению.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1.44. Приложение 11 изложить в редакции согласно приложению 2 к настоящему постановлению.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Департаменту дорог и благоустройства администрации города Перми обеспечить: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льный центр предоставления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color w:val="000000" w:themeColor="text1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r:id="rId14" w:tooltip="http://www.gorodperm.ru" w:history="1">
        <w:r>
          <w:rPr>
            <w:rStyle w:val="903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».</w: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Контроль за исполнением настоящего постановления возложить на заместителя главы администрации города Перми Галиханова Д.К.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atLeast"/>
        <w:ind w:left="0" w:right="0" w:firstLine="709"/>
        <w:jc w:val="both"/>
      </w:pPr>
      <w:r>
        <w:rPr>
          <w:sz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atLeast"/>
        <w:ind w:left="0" w:right="0" w:firstLine="0"/>
      </w:pPr>
      <w:r>
        <w:rPr>
          <w:sz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atLeast"/>
        <w:ind w:left="0" w:right="0" w:firstLine="0"/>
      </w:pPr>
      <w:r>
        <w:rPr>
          <w:sz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 w:clear="all"/>
      </w: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от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территориальным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органом администрации города Перми муниципальной услуги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разрешения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осуществление земляных работ»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6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6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6"/>
        <w:widowControl w:val="o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widowControl w:val="o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местах нахождения, графиках работы, справочных телефонах, адресах электронной почты 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ерриториальных </w:t>
      </w:r>
      <w:r>
        <w:rPr>
          <w:b/>
          <w:sz w:val="28"/>
          <w:szCs w:val="28"/>
        </w:rPr>
        <w:t xml:space="preserve">органов</w:t>
      </w:r>
      <w:r>
        <w:rPr>
          <w:b/>
          <w:sz w:val="28"/>
          <w:szCs w:val="28"/>
        </w:rPr>
        <w:t xml:space="preserve"> администрации города Перми</w:t>
      </w:r>
      <w:r>
        <w:rPr>
          <w:b/>
          <w:sz w:val="28"/>
          <w:szCs w:val="28"/>
        </w:rPr>
        <w:t xml:space="preserve">, предоставляющих муниципальную </w:t>
      </w:r>
      <w:r>
        <w:rPr>
          <w:b/>
          <w:sz w:val="28"/>
          <w:szCs w:val="28"/>
        </w:rPr>
        <w:t xml:space="preserve">услугу «</w:t>
      </w:r>
      <w:r>
        <w:rPr>
          <w:b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0"/>
        <w:gridCol w:w="2411"/>
        <w:gridCol w:w="2411"/>
        <w:gridCol w:w="1883"/>
        <w:gridCol w:w="1482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территориал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ного органа 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министрации гор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Место нахожд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ния, адрес эле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тронной почты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структурного 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разделения Террит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 органа, предоста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ляющего муниципальную услугу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График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Справочные телефоны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8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0"/>
        <w:gridCol w:w="2411"/>
        <w:gridCol w:w="2411"/>
        <w:gridCol w:w="1883"/>
        <w:gridCol w:w="1482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Дзержинского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614068, Лен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на, 85,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15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adzr@perm.permkrai.ru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246-56-31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236-77-05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246-50-11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Индустриальн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614095,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Мира, 15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hyperlink r:id="rId16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air@perm.permkrai.ru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227-94-12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227-91-74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Кировского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614101,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Кир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воградская, 33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17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akir@perm.permkrai.ru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205-62-28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205-62-19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205-62-20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Ленинского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614000, ул. Пер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ская, 57,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alen@</w:t>
            </w:r>
            <w:r>
              <w:rPr>
                <w:sz w:val="24"/>
                <w:szCs w:val="24"/>
                <w:highlight w:val="none"/>
              </w:rPr>
              <w:t xml:space="preserve">perm.permkrai.ru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212-34-60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212-24-98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Мотовилихи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614014, ул. Урал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ская, 36,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18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amtv@perm.permkrai.ru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266-08-10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260-27-66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Орджоники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зевского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614026,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Александра Щербакова, 24,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hyperlink r:id="rId19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aord@perm.permkrai.ru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52-04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263-47-71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263-53-52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Свердловского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ул. 614007, Сиби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ская, 58,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</w:r>
            <w:hyperlink r:id="rId20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asvr@perm.permkrai.ru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12.00 час. до 12.48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-40-77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244-21-80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поселка Новые Ляды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Новые Ляды, 614105,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Тран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портная, 2,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hyperlink r:id="rId21" w:tooltip="Отправить письмо" w:history="1">
              <w:r>
                <w:rPr>
                  <w:rStyle w:val="90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anld@perm.permkrai.ru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8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 и потребител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ского рынка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29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понедельник-четверг: с 09.00 час. до 18.00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17.00 час.;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886"/>
              <w:widowControl w:val="off"/>
              <w:tabs>
                <w:tab w:val="left" w:pos="568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перерыв: с 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.00 час. до 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.48 час.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31" w:type="pct"/>
            <w:noWrap w:val="false"/>
            <w:textDirection w:val="lrTb"/>
            <w:vAlign w:val="top"/>
          </w:tcPr>
          <w:p>
            <w:pPr>
              <w:pStyle w:val="886"/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295-85-67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86"/>
        <w:ind w:left="5103"/>
        <w:outlineLvl w:val="1"/>
        <w:rPr>
          <w:rFonts w:eastAsia="Calibri"/>
          <w:sz w:val="2"/>
          <w:szCs w:val="2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2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от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территориальным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органом администрации города Перми муниципальной услуги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Предоставление разрешения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осуществление зе</w:t>
      </w:r>
      <w:r>
        <w:rPr>
          <w:rFonts w:eastAsia="Calibri"/>
          <w:sz w:val="28"/>
          <w:szCs w:val="28"/>
          <w:lang w:eastAsia="en-US"/>
        </w:rPr>
        <w:t xml:space="preserve">м</w:t>
      </w:r>
      <w:r>
        <w:rPr>
          <w:rFonts w:eastAsia="Calibri"/>
          <w:sz w:val="28"/>
          <w:szCs w:val="28"/>
          <w:lang w:eastAsia="en-US"/>
        </w:rPr>
        <w:t xml:space="preserve">ляных работ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spacing w:line="240" w:lineRule="exact"/>
        <w:ind w:left="567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6"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6"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6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БЛОК-СХЕМА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6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прохождения административных процедур предоставления муниц</w:t>
      </w:r>
      <w:r>
        <w:rPr>
          <w:b/>
          <w:color w:val="000000"/>
          <w:sz w:val="28"/>
          <w:szCs w:val="28"/>
        </w:rPr>
        <w:t xml:space="preserve">и</w:t>
      </w:r>
      <w:r>
        <w:rPr>
          <w:b/>
          <w:color w:val="000000"/>
          <w:sz w:val="28"/>
          <w:szCs w:val="28"/>
        </w:rPr>
        <w:t xml:space="preserve">пальной услуги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6"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8" w:lineRule="atLeast"/>
        <w:ind w:left="0" w:right="0" w:firstLine="709"/>
        <w:jc w:val="center"/>
      </w:pPr>
      <w:r>
        <w:rPr>
          <w:sz w:val="26"/>
        </w:rPr>
      </w:r>
    </w:p>
    <w:tbl>
      <w:tblPr>
        <w:tblStyle w:val="74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205"/>
      </w:tblGrid>
      <w:tr>
        <w:trPr/>
        <w:tblPrEx/>
        <w:tc>
          <w:tcPr>
            <w:tcW w:w="9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981"/>
              <w:suppressLineNumbers w:val="0"/>
              <w:spacing w:before="0" w:beforeAutospacing="0" w:after="0" w:afterAutospacing="0"/>
              <w:ind w:firstLine="5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роверка документов и регистрация Заявки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81"/>
              <w:suppressLineNumbers w:val="0"/>
              <w:spacing w:before="0" w:beforeAutospacing="0" w:after="0" w:afterAutospacing="0"/>
              <w:ind w:firstLine="55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(не более 1 рабочего дня со дня поступления Заявки с пакетом документов в Территориальный орган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9205" w:type="dxa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noWrap w:val="false"/>
            <w:tcMar>
              <w:left w:w="0" w:type="dxa"/>
              <w:top w:w="102" w:type="dxa"/>
              <w:right w:w="0" w:type="dxa"/>
              <w:bottom w:w="102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613539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48" cy="2095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0.50pt;height:16.5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</w:tr>
      <w:tr>
        <w:trPr/>
        <w:tblPrEx/>
        <w:tc>
          <w:tcPr>
            <w:tcW w:w="9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Получение сведений посредством межведомственного (внутриведомственного) информационного взаимодействия, рассмотрение Заявки и документов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подуслуги «Предоставление разрешения на осуществление земляных работ» — не более 7 рабочих дней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 дня поступления Заявки с пакетом документов ответственному специалисту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для подуслуги «Предоставление разрешения на осуществление земляных работ при проведе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нии аварийного ремонта» – не более 1 рабочего дня,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 дня поступления Заявки с пакетом документов ответственному специалисту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для подуслуг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«Продление разрешения на осуществление земляных работ», «Закрытие разрешения на осуществление земляных работ»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не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 дня поступления Заявки с пакетом документов ответственному специалисту)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9205" w:type="dxa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noWrap w:val="false"/>
            <w:tcMar>
              <w:left w:w="0" w:type="dxa"/>
              <w:top w:w="102" w:type="dxa"/>
              <w:right w:w="0" w:type="dxa"/>
              <w:bottom w:w="102" w:type="dxa"/>
            </w:tcMar>
            <w:textDirection w:val="lrTb"/>
            <w:vAlign w:val="center"/>
          </w:tcPr>
          <w:p>
            <w:pPr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207286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47" cy="209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.50pt;height:16.5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</w:tr>
      <w:tr>
        <w:trPr/>
        <w:tblPrEx/>
        <w:tc>
          <w:tcPr>
            <w:tcW w:w="9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56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предоставлении муниципальной услуги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5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 более 1 рабочего дня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 дня поступления должностному лицу Территориального органа, уполномоченному на подписание Разрешения на осуществление земляных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работ, пакета документов и проектов документов (решений)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результатам предоставления муниципальной услуги)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blPrEx/>
        <w:tc>
          <w:tcPr>
            <w:tcW w:w="9205" w:type="dxa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noWrap w:val="false"/>
            <w:tcMar>
              <w:left w:w="0" w:type="dxa"/>
              <w:top w:w="102" w:type="dxa"/>
              <w:right w:w="0" w:type="dxa"/>
              <w:bottom w:w="102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483886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48" cy="2095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0.50pt;height:16.5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</w:tr>
      <w:tr>
        <w:trPr/>
        <w:tblPrEx/>
        <w:tc>
          <w:tcPr>
            <w:tcW w:w="9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(выдача) результата предоставления муниципальной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виде бумажной копии электронного документа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56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(не более 1 рабочего дня </w:t>
            </w:r>
            <w:r>
              <w:rPr>
                <w:sz w:val="24"/>
                <w:szCs w:val="24"/>
              </w:rPr>
              <w:t xml:space="preserve">со дня поступления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результата предоставления муниципальной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виде бумажной копии электронного документа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иалисту Территориального органа, ответственному за регистрацию и выдачу документов)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/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framePr w:wrap="around" w:vAnchor="text" w:hAnchor="margin" w:xAlign="center" w:y="1"/>
      <w:rPr>
        <w:rStyle w:val="896"/>
      </w:rPr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ind w:left="720"/>
      <w:contextualSpacing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spacing w:after="57"/>
      <w:ind w:left="0" w:right="0" w:firstLine="0"/>
    </w:pPr>
  </w:style>
  <w:style w:type="paragraph" w:styleId="876">
    <w:name w:val="toc 2"/>
    <w:basedOn w:val="886"/>
    <w:next w:val="886"/>
    <w:uiPriority w:val="39"/>
    <w:unhideWhenUsed/>
    <w:pPr>
      <w:spacing w:after="57"/>
      <w:ind w:left="283" w:right="0" w:firstLine="0"/>
    </w:pPr>
  </w:style>
  <w:style w:type="paragraph" w:styleId="877">
    <w:name w:val="toc 3"/>
    <w:basedOn w:val="886"/>
    <w:next w:val="886"/>
    <w:uiPriority w:val="39"/>
    <w:unhideWhenUsed/>
    <w:pPr>
      <w:spacing w:after="57"/>
      <w:ind w:left="567" w:right="0" w:firstLine="0"/>
    </w:pPr>
  </w:style>
  <w:style w:type="paragraph" w:styleId="878">
    <w:name w:val="toc 4"/>
    <w:basedOn w:val="886"/>
    <w:next w:val="886"/>
    <w:uiPriority w:val="39"/>
    <w:unhideWhenUsed/>
    <w:pPr>
      <w:spacing w:after="57"/>
      <w:ind w:left="850" w:right="0" w:firstLine="0"/>
    </w:pPr>
  </w:style>
  <w:style w:type="paragraph" w:styleId="879">
    <w:name w:val="toc 5"/>
    <w:basedOn w:val="886"/>
    <w:next w:val="886"/>
    <w:uiPriority w:val="39"/>
    <w:unhideWhenUsed/>
    <w:pPr>
      <w:spacing w:after="57"/>
      <w:ind w:left="1134" w:right="0" w:firstLine="0"/>
    </w:pPr>
  </w:style>
  <w:style w:type="paragraph" w:styleId="880">
    <w:name w:val="toc 6"/>
    <w:basedOn w:val="886"/>
    <w:next w:val="886"/>
    <w:uiPriority w:val="39"/>
    <w:unhideWhenUsed/>
    <w:pPr>
      <w:spacing w:after="57"/>
      <w:ind w:left="1417" w:right="0" w:firstLine="0"/>
    </w:pPr>
  </w:style>
  <w:style w:type="paragraph" w:styleId="881">
    <w:name w:val="toc 7"/>
    <w:basedOn w:val="886"/>
    <w:next w:val="886"/>
    <w:uiPriority w:val="39"/>
    <w:unhideWhenUsed/>
    <w:pPr>
      <w:spacing w:after="57"/>
      <w:ind w:left="1701" w:right="0" w:firstLine="0"/>
    </w:pPr>
  </w:style>
  <w:style w:type="paragraph" w:styleId="882">
    <w:name w:val="toc 8"/>
    <w:basedOn w:val="886"/>
    <w:next w:val="886"/>
    <w:uiPriority w:val="39"/>
    <w:unhideWhenUsed/>
    <w:pPr>
      <w:spacing w:after="57"/>
      <w:ind w:left="1984" w:right="0" w:firstLine="0"/>
    </w:pPr>
  </w:style>
  <w:style w:type="paragraph" w:styleId="883">
    <w:name w:val="toc 9"/>
    <w:basedOn w:val="886"/>
    <w:next w:val="886"/>
    <w:uiPriority w:val="39"/>
    <w:unhideWhenUsed/>
    <w:pPr>
      <w:spacing w:after="57"/>
      <w:ind w:left="2268" w:right="0" w:firstLine="0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/>
      <w:ind w:right="-1" w:firstLine="709"/>
      <w:jc w:val="both"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/>
      <w:ind w:right="-1"/>
      <w:jc w:val="both"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adzr@perm.permkrai.ru" TargetMode="External"/><Relationship Id="rId16" Type="http://schemas.openxmlformats.org/officeDocument/2006/relationships/hyperlink" Target="mailto:air@perm.permkrai.ru" TargetMode="External"/><Relationship Id="rId17" Type="http://schemas.openxmlformats.org/officeDocument/2006/relationships/hyperlink" Target="mailto:akir@perm.permkrai.ru" TargetMode="External"/><Relationship Id="rId18" Type="http://schemas.openxmlformats.org/officeDocument/2006/relationships/hyperlink" Target="mailto:amtv@perm.permkrai.ru" TargetMode="External"/><Relationship Id="rId19" Type="http://schemas.openxmlformats.org/officeDocument/2006/relationships/hyperlink" Target="mailto:aord@perm.permkrai.ru" TargetMode="External"/><Relationship Id="rId20" Type="http://schemas.openxmlformats.org/officeDocument/2006/relationships/hyperlink" Target="mailto:asvr@perm.permkrai.ru" TargetMode="External"/><Relationship Id="rId21" Type="http://schemas.openxmlformats.org/officeDocument/2006/relationships/hyperlink" Target="mailto:anld@perm.permkrai.ru" TargetMode="External"/><Relationship Id="rId2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11</cp:revision>
  <dcterms:created xsi:type="dcterms:W3CDTF">2024-04-08T07:08:00Z</dcterms:created>
  <dcterms:modified xsi:type="dcterms:W3CDTF">2025-02-04T10:01:14Z</dcterms:modified>
  <cp:version>917504</cp:version>
</cp:coreProperties>
</file>