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5521" w:firstLine="0"/>
        <w:rPr>
          <w:b w:val="0"/>
          <w:bCs w:val="0"/>
        </w:rPr>
      </w:pPr>
      <w:r>
        <w:rPr>
          <w:b w:val="0"/>
          <w:bCs w:val="0"/>
          <w:color w:val="000000"/>
          <w:highlight w:val="none"/>
        </w:rPr>
        <w:t xml:space="preserve">10.02.2025                059-16-01-03-14</w:t>
      </w:r>
      <w:r>
        <w:rPr>
          <w:b w:val="0"/>
          <w:bCs w:val="0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pStyle w:val="896"/>
        <w:ind w:left="0" w:right="5521" w:firstLine="0"/>
        <w:spacing w:line="283" w:lineRule="exact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О сносе </w:t>
      </w:r>
      <w:r>
        <w:rPr>
          <w:b/>
          <w:color w:val="000000"/>
        </w:rPr>
        <w:t xml:space="preserve">самовольной постройки, расположенной на свободных городских землях (адресный ориентир: г. Пермь, Индустриальный р-н, ул. 2-ая Казанцевская,  южнее земельного участка с кадастровым номером 59:01:4613916:743, севернее земельного участка с кадастровым </w:t>
      </w:r>
      <w:r>
        <w:rPr>
          <w:b/>
          <w:color w:val="000000"/>
        </w:rPr>
        <w:t xml:space="preserve">номером 59:01:4613916:883)</w:t>
      </w:r>
      <w:r>
        <w:rPr>
          <w:b/>
        </w:rPr>
      </w:r>
      <w:r>
        <w:rPr>
          <w:b/>
          <w:bCs/>
          <w:color w:val="000000"/>
          <w:highlight w:val="none"/>
        </w:rPr>
      </w:r>
    </w:p>
    <w:p>
      <w:pPr>
        <w:pStyle w:val="896"/>
        <w:ind w:firstLine="720"/>
        <w:jc w:val="both"/>
        <w:spacing w:line="283" w:lineRule="exact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20.</w:t>
      </w:r>
      <w:r>
        <w:t xml:space="preserve">01.2024</w:t>
      </w:r>
      <w:r>
        <w:t xml:space="preserve"> № 10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ой </w:t>
      </w:r>
      <w:r>
        <w:t xml:space="preserve">постройки</w:t>
      </w:r>
      <w:r>
        <w:t xml:space="preserve">, расположенной на свободных городских землях (адресный ориентир: г. Пермь, Индустриальный р-н, ул. 2-ая Казанцевская,  южнее земельного участка с кадастровым номером 59:01:4613916:743, севернее земельного участка с кадастровым номером </w:t>
      </w:r>
      <w:r>
        <w:t xml:space="preserve">59:01:4613916:883)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01 мая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29</cp:revision>
  <dcterms:created xsi:type="dcterms:W3CDTF">2023-06-13T07:33:00Z</dcterms:created>
  <dcterms:modified xsi:type="dcterms:W3CDTF">2025-02-10T03:35:45Z</dcterms:modified>
  <cp:version>1048576</cp:version>
</cp:coreProperties>
</file>